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75.png" ContentType="image/png"/>
  <Override PartName="/word/media/rId70.png" ContentType="image/png"/>
  <Override PartName="/word/media/rId94.png" ContentType="image/png"/>
  <Override PartName="/word/media/rId34.jpg" ContentType="image/jpeg"/>
  <Override PartName="/word/media/rId80.png" ContentType="image/png"/>
  <Override PartName="/word/media/rId37.jpg" ContentType="image/jpeg"/>
  <Override PartName="/word/media/rId99.png" ContentType="image/png"/>
  <Override PartName="/word/media/rId90.png" ContentType="image/png"/>
  <Override PartName="/word/media/rId86.png" ContentType="image/png"/>
  <Override PartName="/word/media/rId29.png" ContentType="image/png"/>
  <Override PartName="/word/media/rId40.jpg" ContentType="image/jpeg"/>
  <Override PartName="/word/media/rId43.jpg" ContentType="image/jpe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et al.</w:t>
      </w:r>
    </w:p>
    <w:p>
      <w:pPr>
        <w:pStyle w:val="Date"/>
      </w:pPr>
      <w:r>
        <w:t xml:space="preserve">2025-10-31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resumo"/>
    <w:p>
      <w:pPr>
        <w:pStyle w:val="Heading1"/>
      </w:pPr>
      <w:r>
        <w:t xml:space="preserve">Resumo</w:t>
      </w:r>
    </w:p>
    <w:p>
      <w:pPr>
        <w:pStyle w:val="FirstParagraph"/>
      </w:pPr>
    </w:p>
    <w:p>
      <w:pPr>
        <w:pStyle w:val="BodyText"/>
      </w:pPr>
      <w:r>
        <w:t xml:space="preserve">A conversão de ecossistemas naturais em sistemas agrícolas altera de forma substantiva a dinâmica do fósforo (P) e do nitrogênio (N) no solo, com implicações diretas para a sustentabilidade de ambientes tropicais. Este estudo avaliou a dinâmica funcional de N e P em frações lábeis e húmicas sob quatro usos da terra no sul do Tocantins (Cerrado nativo, Eucalipto, Pastagem e Agricultura com milho), visando integrar evidências preditivas, estruturais e sínteses fuzzy para diagnóstico da funcionalidade edáfica. Amostras de 0–50 cm foram analisadas quanto às frações lábeis (NLabil, NMOL; PLabil, PMOL), húmicas (NTAF, NTAH, NTHum; PTAF, PTAH, PTHum) e totais (NT, PT), incluindo estoques (EstNT, EstPT). A regressão por mínimos quadrados parciais (PLSR) identificou as frações mais relevantes por escores VIP, a modelagem por equações estruturais (PLS-SEM) explicitou relações causais entre construtos latentes (N_lábil, N_húmico, P_lábil, P_húmico) e os estoques totais (N_total, P_total), e um sistema de inferência fuzzy (FSNSI) sintetizou N_total, P_total e densidade do solo em um índice único de funcionalidade. As frações húmicas emergiram como preditoras dominantes (VIP &gt; 1,0) e apresentaram efeito positivo forte sobre os estoques totais (β = 1,286), ao passo que as frações lábeis exibiram coeficientes negativos moderados (β = −0,313). O PLS-SEM indicou ajuste elevado (R² &gt; 0,80; SRMR &lt; 0,06) e simetria dos coeficientes entre N e P, sugerindo acoplamento biogeoquímico entre seus ciclos. O FSNSI diferenciou os usos: o Eucalipto apresentou a maior funcionalidade (FSNSI = 6,07), superando o Cerrado (4,42; p = 0,036), enquanto Agricultura e Pastagem revelaram funcionalidade intermediária. A densidade do solo correlacionou-se negativamente com o FSNSI (r = −0,424; p &lt; 0,001), confirmando-se como fator limitante transversal. Em conjunto, os resultados indicam que o enriquecimento das frações húmicas, associado a maior aporte e qualidade da serapilheira e a melhor estrutura física, sustenta os estoques de N e P e a funcionalidade edáfica. Conclui-se que a integração entre PLSR, PLS-SEM e inferência fuzzy constitui abordagem robusta e multiescalar para diagnosticar a sustentabilidade nutricional do solo e orientar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 PLS-SEM; PLSR.</w:t>
      </w:r>
    </w:p>
    <w:p>
      <w:pPr>
        <w:pStyle w:val="BodyText"/>
      </w:pPr>
    </w:p>
    <w:bookmarkStart w:id="21" w:name="estrutura-do-documento"/>
    <w:p>
      <w:pPr>
        <w:pStyle w:val="Heading2"/>
      </w:pPr>
      <w:r>
        <w:t xml:space="preserve">Estrutura do Documento</w:t>
      </w:r>
    </w:p>
    <w:p>
      <w:pPr>
        <w:pStyle w:val="FirstParagraph"/>
      </w:pPr>
      <w:r>
        <w:t xml:space="preserve">Este trabalho segue a</w:t>
      </w:r>
      <w:r>
        <w:t xml:space="preserve"> </w:t>
      </w:r>
      <w:hyperlink r:id="rId20">
        <w:r>
          <w:rPr>
            <w:rStyle w:val="Hyperlink"/>
          </w:rPr>
          <w:t xml:space="preserve">TIER Protocol 4.0</w:t>
        </w:r>
      </w:hyperlink>
      <w:r>
        <w:t xml:space="preserve"> </w:t>
      </w:r>
      <w:r>
        <w:t xml:space="preserve">para garantir clareza e reprodutibilidade:</w:t>
      </w:r>
    </w:p>
    <w:p>
      <w:pPr>
        <w:pStyle w:val="Compact"/>
        <w:numPr>
          <w:ilvl w:val="0"/>
          <w:numId w:val="1001"/>
        </w:numPr>
      </w:pPr>
      <w:r>
        <w:rPr>
          <w:b/>
          <w:bCs/>
        </w:rPr>
        <w:t xml:space="preserve">Dados</w:t>
      </w:r>
      <w:r>
        <w:t xml:space="preserve"> </w:t>
      </w:r>
      <w:r>
        <w:t xml:space="preserve">(</w:t>
      </w:r>
      <w:r>
        <w:rPr>
          <w:rStyle w:val="VerbatimChar"/>
        </w:rPr>
        <w:t xml:space="preserve">data/</w:t>
      </w:r>
      <w:r>
        <w:t xml:space="preserve">): Conjunto de dados brutos e processados</w:t>
      </w:r>
    </w:p>
    <w:p>
      <w:pPr>
        <w:pStyle w:val="Compact"/>
        <w:numPr>
          <w:ilvl w:val="0"/>
          <w:numId w:val="1001"/>
        </w:numPr>
      </w:pPr>
      <w:r>
        <w:rPr>
          <w:b/>
          <w:bCs/>
        </w:rPr>
        <w:t xml:space="preserve">Código</w:t>
      </w:r>
      <w:r>
        <w:t xml:space="preserve"> </w:t>
      </w:r>
      <w:r>
        <w:t xml:space="preserve">(</w:t>
      </w:r>
      <w:r>
        <w:rPr>
          <w:rStyle w:val="VerbatimChar"/>
        </w:rPr>
        <w:t xml:space="preserve">code/</w:t>
      </w:r>
      <w:r>
        <w:t xml:space="preserve">): Scripts R para análise estatística</w:t>
      </w:r>
    </w:p>
    <w:p>
      <w:pPr>
        <w:pStyle w:val="Compact"/>
        <w:numPr>
          <w:ilvl w:val="0"/>
          <w:numId w:val="1001"/>
        </w:numPr>
      </w:pPr>
      <w:r>
        <w:rPr>
          <w:b/>
          <w:bCs/>
        </w:rPr>
        <w:t xml:space="preserve">Outputs</w:t>
      </w:r>
      <w:r>
        <w:t xml:space="preserve"> </w:t>
      </w:r>
      <w:r>
        <w:t xml:space="preserve">(</w:t>
      </w:r>
      <w:r>
        <w:rPr>
          <w:rStyle w:val="VerbatimChar"/>
        </w:rPr>
        <w:t xml:space="preserve">outputs/</w:t>
      </w:r>
      <w:r>
        <w:t xml:space="preserve">): Resultados e tabelas geradas</w:t>
      </w:r>
    </w:p>
    <w:p>
      <w:pPr>
        <w:pStyle w:val="Compact"/>
        <w:numPr>
          <w:ilvl w:val="0"/>
          <w:numId w:val="1001"/>
        </w:numPr>
      </w:pPr>
      <w:r>
        <w:rPr>
          <w:b/>
          <w:bCs/>
        </w:rPr>
        <w:t xml:space="preserve">Figuras</w:t>
      </w:r>
      <w:r>
        <w:t xml:space="preserve"> </w:t>
      </w:r>
      <w:r>
        <w:t xml:space="preserve">(</w:t>
      </w:r>
      <w:r>
        <w:rPr>
          <w:rStyle w:val="VerbatimChar"/>
        </w:rPr>
        <w:t xml:space="preserve">figures/</w:t>
      </w:r>
      <w:r>
        <w:t xml:space="preserve">): Gráficos e visualizações</w:t>
      </w:r>
    </w:p>
    <w:p>
      <w:pPr>
        <w:pStyle w:val="Compact"/>
        <w:numPr>
          <w:ilvl w:val="0"/>
          <w:numId w:val="1001"/>
        </w:numPr>
      </w:pPr>
      <w:r>
        <w:rPr>
          <w:b/>
          <w:bCs/>
        </w:rPr>
        <w:t xml:space="preserve">Capítulos</w:t>
      </w:r>
      <w:r>
        <w:t xml:space="preserve"> </w:t>
      </w:r>
      <w:r>
        <w:t xml:space="preserve">(</w:t>
      </w:r>
      <w:r>
        <w:rPr>
          <w:rStyle w:val="VerbatimChar"/>
        </w:rPr>
        <w:t xml:space="preserve">chapters/</w:t>
      </w:r>
      <w:r>
        <w:t xml:space="preserve">): Seções do artigo</w:t>
      </w:r>
    </w:p>
    <w:bookmarkEnd w:id="21"/>
    <w:bookmarkStart w:id="22" w:name="como-reproduzir"/>
    <w:p>
      <w:pPr>
        <w:pStyle w:val="Heading2"/>
      </w:pPr>
      <w:r>
        <w:t xml:space="preserve">Como Reproduzir</w:t>
      </w:r>
    </w:p>
    <w:p>
      <w:pPr>
        <w:pStyle w:val="FirstParagraph"/>
      </w:pPr>
      <w:r>
        <w:t xml:space="preserve">Para reproduzir todos os resultados:</w:t>
      </w:r>
    </w:p>
    <w:p>
      <w:pPr>
        <w:pStyle w:val="SourceCode"/>
      </w:pPr>
      <w:r>
        <w:rPr>
          <w:rStyle w:val="ExtensionTok"/>
        </w:rPr>
        <w:t xml:space="preserve">quarto</w:t>
      </w:r>
      <w:r>
        <w:rPr>
          <w:rStyle w:val="NormalTok"/>
        </w:rPr>
        <w:t xml:space="preserve"> render</w:t>
      </w:r>
    </w:p>
    <w:p>
      <w:pPr>
        <w:pStyle w:val="FirstParagraph"/>
      </w:pPr>
      <w:r>
        <w:t xml:space="preserve">Para gerar apenas HTML:</w:t>
      </w:r>
    </w:p>
    <w:p>
      <w:pPr>
        <w:pStyle w:val="SourceCode"/>
      </w:pPr>
      <w:r>
        <w:rPr>
          <w:rStyle w:val="ExtensionTok"/>
        </w:rPr>
        <w:t xml:space="preserve">quarto</w:t>
      </w:r>
      <w:r>
        <w:rPr>
          <w:rStyle w:val="NormalTok"/>
        </w:rPr>
        <w:t xml:space="preserve"> render </w:t>
      </w:r>
      <w:r>
        <w:rPr>
          <w:rStyle w:val="AttributeTok"/>
        </w:rPr>
        <w:t xml:space="preserve">--to</w:t>
      </w:r>
      <w:r>
        <w:rPr>
          <w:rStyle w:val="NormalTok"/>
        </w:rPr>
        <w:t xml:space="preserve"> html</w:t>
      </w:r>
    </w:p>
    <w:p>
      <w:pPr>
        <w:pStyle w:val="FirstParagraph"/>
      </w:pPr>
      <w:r>
        <w:t xml:space="preserve">Para gerar Word:</w:t>
      </w:r>
    </w:p>
    <w:p>
      <w:pPr>
        <w:pStyle w:val="SourceCode"/>
      </w:pPr>
      <w:r>
        <w:rPr>
          <w:rStyle w:val="ExtensionTok"/>
        </w:rPr>
        <w:t xml:space="preserve">quarto</w:t>
      </w:r>
      <w:r>
        <w:rPr>
          <w:rStyle w:val="NormalTok"/>
        </w:rPr>
        <w:t xml:space="preserve"> render </w:t>
      </w:r>
      <w:r>
        <w:rPr>
          <w:rStyle w:val="AttributeTok"/>
        </w:rPr>
        <w:t xml:space="preserve">--to</w:t>
      </w:r>
      <w:r>
        <w:rPr>
          <w:rStyle w:val="NormalTok"/>
        </w:rPr>
        <w:t xml:space="preserve"> docx</w:t>
      </w:r>
    </w:p>
    <w:bookmarkEnd w:id="22"/>
    <w:bookmarkStart w:id="25" w:name="requisitos"/>
    <w:p>
      <w:pPr>
        <w:pStyle w:val="Heading2"/>
      </w:pPr>
      <w:r>
        <w:t xml:space="preserve">Requisitos</w:t>
      </w:r>
    </w:p>
    <w:p>
      <w:pPr>
        <w:pStyle w:val="Compact"/>
        <w:numPr>
          <w:ilvl w:val="0"/>
          <w:numId w:val="1002"/>
        </w:numPr>
      </w:pPr>
      <w:hyperlink r:id="rId23">
        <w:r>
          <w:rPr>
            <w:rStyle w:val="Hyperlink"/>
          </w:rPr>
          <w:t xml:space="preserve">Quarto</w:t>
        </w:r>
      </w:hyperlink>
      <w:r>
        <w:t xml:space="preserve"> </w:t>
      </w:r>
      <w:r>
        <w:t xml:space="preserve">≥ 1.4</w:t>
      </w:r>
    </w:p>
    <w:p>
      <w:pPr>
        <w:pStyle w:val="Compact"/>
        <w:numPr>
          <w:ilvl w:val="0"/>
          <w:numId w:val="1002"/>
        </w:numPr>
      </w:pPr>
      <w:hyperlink r:id="rId24">
        <w:r>
          <w:rPr>
            <w:rStyle w:val="Hyperlink"/>
          </w:rPr>
          <w:t xml:space="preserve">R</w:t>
        </w:r>
      </w:hyperlink>
      <w:r>
        <w:t xml:space="preserve"> </w:t>
      </w:r>
      <w:r>
        <w:t xml:space="preserve">≥ 4.0</w:t>
      </w:r>
    </w:p>
    <w:p>
      <w:pPr>
        <w:pStyle w:val="Compact"/>
        <w:numPr>
          <w:ilvl w:val="0"/>
          <w:numId w:val="1002"/>
        </w:numPr>
      </w:pPr>
      <w:r>
        <w:t xml:space="preserve">Pandoc (incluído no Quarto)</w:t>
      </w:r>
    </w:p>
    <w:bookmarkEnd w:id="25"/>
    <w:bookmarkStart w:id="26" w:name="citação"/>
    <w:p>
      <w:pPr>
        <w:pStyle w:val="Heading2"/>
      </w:pPr>
      <w:r>
        <w:t xml:space="preserve">Citação</w:t>
      </w:r>
    </w:p>
    <w:p>
      <w:pPr>
        <w:pStyle w:val="FirstParagraph"/>
      </w:pPr>
      <w:r>
        <w:t xml:space="preserve">Cite este trabalho como:</w:t>
      </w:r>
    </w:p>
    <w:p>
      <w:pPr>
        <w:pStyle w:val="SourceCode"/>
      </w:pPr>
      <w:r>
        <w:rPr>
          <w:rStyle w:val="VariableTok"/>
        </w:rPr>
        <w:t xml:space="preserve">@article</w:t>
      </w:r>
      <w:r>
        <w:rPr>
          <w:rStyle w:val="NormalTok"/>
        </w:rPr>
        <w:t xml:space="preserve">{</w:t>
      </w:r>
      <w:r>
        <w:rPr>
          <w:rStyle w:val="OtherTok"/>
        </w:rPr>
        <w:t xml:space="preserve">vidal2025</w:t>
      </w:r>
      <w:r>
        <w:rPr>
          <w:rStyle w:val="NormalTok"/>
        </w:rPr>
        <w:t xml:space="preserve">,</w:t>
      </w:r>
      <w:r>
        <w:br/>
      </w:r>
      <w:r>
        <w:rPr>
          <w:rStyle w:val="NormalTok"/>
        </w:rPr>
        <w:t xml:space="preserve">  </w:t>
      </w:r>
      <w:r>
        <w:rPr>
          <w:rStyle w:val="DataTypeTok"/>
        </w:rPr>
        <w:t xml:space="preserve">title</w:t>
      </w:r>
      <w:r>
        <w:rPr>
          <w:rStyle w:val="NormalTok"/>
        </w:rPr>
        <w:t xml:space="preserve"> = {Modelagem Fuzzy-PLS da Dinâmica de Fósforo e Nitrogênio em Usos do Solo no Sul do Tocantins},</w:t>
      </w:r>
      <w:r>
        <w:br/>
      </w:r>
      <w:r>
        <w:rPr>
          <w:rStyle w:val="NormalTok"/>
        </w:rPr>
        <w:t xml:space="preserve">  </w:t>
      </w:r>
      <w:r>
        <w:rPr>
          <w:rStyle w:val="DataTypeTok"/>
        </w:rPr>
        <w:t xml:space="preserve">author</w:t>
      </w:r>
      <w:r>
        <w:rPr>
          <w:rStyle w:val="NormalTok"/>
        </w:rPr>
        <w:t xml:space="preserve"> = {Vidal, Diego},</w:t>
      </w:r>
      <w:r>
        <w:br/>
      </w:r>
      <w:r>
        <w:rPr>
          <w:rStyle w:val="NormalTok"/>
        </w:rPr>
        <w:t xml:space="preserve">  </w:t>
      </w:r>
      <w:r>
        <w:rPr>
          <w:rStyle w:val="DataTypeTok"/>
        </w:rPr>
        <w:t xml:space="preserve">year</w:t>
      </w:r>
      <w:r>
        <w:rPr>
          <w:rStyle w:val="NormalTok"/>
        </w:rPr>
        <w:t xml:space="preserve"> = {2025}</w:t>
      </w:r>
      <w:r>
        <w:br/>
      </w:r>
      <w:r>
        <w:rPr>
          <w:rStyle w:val="NormalTok"/>
        </w:rPr>
        <w:t xml:space="preserve">}</w:t>
      </w:r>
    </w:p>
    <w:p>
      <w:r>
        <w:pict>
          <v:rect style="width:0;height:1.5pt" o:hralign="center" o:hrstd="t" o:hr="t"/>
        </w:pict>
      </w:r>
    </w:p>
    <w:p>
      <w:pPr>
        <w:pStyle w:val="FirstParagraph"/>
      </w:pPr>
      <w:r>
        <w:rPr>
          <w:b/>
          <w:bCs/>
        </w:rPr>
        <w:t xml:space="preserve">Última atualização</w:t>
      </w:r>
      <w:r>
        <w:t xml:space="preserve">:</w:t>
      </w:r>
      <w:r>
        <w:t xml:space="preserve"> </w:t>
      </w:r>
      <w:r>
        <w:rPr>
          <w:rStyle w:val="VerbatimChar"/>
        </w:rPr>
        <w:t xml:space="preserve">r Sys.Date()</w:t>
      </w:r>
    </w:p>
    <w:bookmarkEnd w:id="26"/>
    <w:bookmarkEnd w:id="27"/>
    <w:bookmarkStart w:id="28" w:name="introdução"/>
    <w:p>
      <w:pPr>
        <w:pStyle w:val="Heading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(Tivet et al., 2013, Silva et al., 2022, Wang et al., 2023)</w:t>
      </w:r>
      <w:r>
        <w:t xml:space="preserve">. Tais mudanças são particularmente evidentes no bioma Cerrado, onde a intensificação do uso da terra tem levado à degradação da funcionalidade edáfica</w:t>
      </w:r>
      <w:r>
        <w:t xml:space="preserve"> </w:t>
      </w:r>
      <w:r>
        <w:t xml:space="preserve">(Strassburg et al., 2017, Sousa et al., 2021)</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(Stevenson, 1994, Helfenstein et al., 2020)</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(Mamdani, 1977, Lima et al., 2023)</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8"/>
    <w:bookmarkStart w:id="68" w:name="metodologia"/>
    <w:p>
      <w:pPr>
        <w:pStyle w:val="Heading1"/>
      </w:pPr>
      <w:r>
        <w:t xml:space="preserve">2. Metodologia</w:t>
      </w:r>
    </w:p>
    <w:bookmarkStart w:id="33" w:name="área-de-estudo"/>
    <w:p>
      <w:pPr>
        <w:pStyle w:val="Heading2"/>
      </w:pPr>
      <w:r>
        <w:t xml:space="preserve">2.1 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32" w:name="fig:1"/>
    <w:p>
      <w:pPr>
        <w:pStyle w:val="CaptionedFigure"/>
      </w:pPr>
      <w:r>
        <w:drawing>
          <wp:inline>
            <wp:extent cx="3733800" cy="2587633"/>
            <wp:effectExtent b="0" l="0" r="0" t="0"/>
            <wp:docPr descr="Figura 1. Localização das áreas experimentais" title="" id="30" name="Picture"/>
            <a:graphic>
              <a:graphicData uri="http://schemas.openxmlformats.org/drawingml/2006/picture">
                <pic:pic>
                  <pic:nvPicPr>
                    <pic:cNvPr descr="chapters/../figures/mapa_area.png" id="31" name="Picture"/>
                    <pic:cNvPicPr>
                      <a:picLocks noChangeArrowheads="1" noChangeAspect="1"/>
                    </pic:cNvPicPr>
                  </pic:nvPicPr>
                  <pic:blipFill>
                    <a:blip r:embed="rId29"/>
                    <a:stretch>
                      <a:fillRect/>
                    </a:stretch>
                  </pic:blipFill>
                  <pic:spPr bwMode="auto">
                    <a:xfrm>
                      <a:off x="0" y="0"/>
                      <a:ext cx="3733800" cy="2587633"/>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32"/>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(Cho et al.,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(Lopes &amp; Guilherme, 1996, Ker, 1997)</w:t>
      </w:r>
      <w:r>
        <w:t xml:space="preserve">.</w:t>
      </w:r>
    </w:p>
    <w:bookmarkEnd w:id="33"/>
    <w:bookmarkStart w:id="49" w:name="características-das-áreas-de-estudo"/>
    <w:p>
      <w:pPr>
        <w:pStyle w:val="Heading2"/>
      </w:pPr>
      <w:r>
        <w:t xml:space="preserve">2.2 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 Sano et al.,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35" name="Picture"/>
                  <a:graphic>
                    <a:graphicData uri="http://schemas.openxmlformats.org/drawingml/2006/picture">
                      <pic:pic>
                        <pic:nvPicPr>
                          <pic:cNvPr descr="chapters/../figures/cerrado.jpg" id="36" name="Picture"/>
                          <pic:cNvPicPr>
                            <a:picLocks noChangeArrowheads="1" noChangeAspect="1"/>
                          </pic:cNvPicPr>
                        </pic:nvPicPr>
                        <pic:blipFill>
                          <a:blip r:embed="rId34"/>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38" name="Picture"/>
                  <a:graphic>
                    <a:graphicData uri="http://schemas.openxmlformats.org/drawingml/2006/picture">
                      <pic:pic>
                        <pic:nvPicPr>
                          <pic:cNvPr descr="chapters/../figures/eucalipto.jpg" id="39" name="Picture"/>
                          <pic:cNvPicPr>
                            <a:picLocks noChangeArrowheads="1" noChangeAspect="1"/>
                          </pic:cNvPicPr>
                        </pic:nvPicPr>
                        <pic:blipFill>
                          <a:blip r:embed="rId37"/>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41" name="Picture"/>
                  <a:graphic>
                    <a:graphicData uri="http://schemas.openxmlformats.org/drawingml/2006/picture">
                      <pic:pic>
                        <pic:nvPicPr>
                          <pic:cNvPr descr="chapters/../figures/mogno.jpg" id="42" name="Picture"/>
                          <pic:cNvPicPr>
                            <a:picLocks noChangeArrowheads="1" noChangeAspect="1"/>
                          </pic:cNvPicPr>
                        </pic:nvPicPr>
                        <pic:blipFill>
                          <a:blip r:embed="rId40"/>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1866900" cy="1244600"/>
                  <wp:effectExtent b="0" l="0" r="0" t="0"/>
                  <wp:docPr descr="" title="" id="44" name="Picture"/>
                  <a:graphic>
                    <a:graphicData uri="http://schemas.openxmlformats.org/drawingml/2006/picture">
                      <pic:pic>
                        <pic:nvPicPr>
                          <pic:cNvPr descr="chapters/../figures/teca.jpg" id="45" name="Picture"/>
                          <pic:cNvPicPr>
                            <a:picLocks noChangeArrowheads="1" noChangeAspect="1"/>
                          </pic:cNvPicPr>
                        </pic:nvPicPr>
                        <pic:blipFill>
                          <a:blip r:embed="rId43"/>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47" name="Picture"/>
                  <a:graphic>
                    <a:graphicData uri="http://schemas.openxmlformats.org/drawingml/2006/picture">
                      <pic:pic>
                        <pic:nvPicPr>
                          <pic:cNvPr descr="chapters/../figures/agricultura.jpg" id="48" name="Picture"/>
                          <pic:cNvPicPr>
                            <a:picLocks noChangeArrowheads="1" noChangeAspect="1"/>
                          </pic:cNvPicPr>
                        </pic:nvPicPr>
                        <pic:blipFill>
                          <a:blip r:embed="rId46"/>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(Queiroz et al.,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(Verai et al., 2022)</w:t>
      </w:r>
      <w:r>
        <w:t xml:space="preserve">.</w:t>
      </w:r>
      <w:r>
        <w:t xml:space="preserve"> </w:t>
      </w: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(Almeida et al., 2024)</w:t>
      </w:r>
      <w:r>
        <w:t xml:space="preserve">. No que tange ao processo de alinhamento e esquadrejamento das mudas, optou-se pela utilização do método do Triangulo Reto (3/4/5) com auxílio de baliza e trena</w:t>
      </w:r>
      <w:r>
        <w:t xml:space="preserve"> </w:t>
      </w:r>
      <w:r>
        <w:t xml:space="preserve">(Verai et al., 2022)</w:t>
      </w:r>
      <w:r>
        <w:t xml:space="preserve">.</w:t>
      </w:r>
      <w:r>
        <w:t xml:space="preserve"> </w:t>
      </w:r>
      <w:r>
        <w:t xml:space="preserve">Já o plantio de Mogno Africano (</w:t>
      </w:r>
      <w:r>
        <w:rPr>
          <w:i/>
          <w:i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r>
        <w:t xml:space="preserve"> </w:t>
      </w:r>
      <w:r>
        <w:t xml:space="preserve">O Plantio de Teca (</w:t>
      </w:r>
      <w:r>
        <w:rPr>
          <w:i/>
          <w:iCs/>
        </w:rPr>
        <w:t xml:space="preserve">Tectona grandis</w:t>
      </w:r>
      <w:r>
        <w:t xml:space="preserve">) possui uma área total de 1,12 ha, com dez anos de idade, localizado nas coordenadas 11°54’22’</w:t>
      </w:r>
      <w:r>
        <w:t xml:space="preserve">’S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(Moreira et al.,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(Machado et al., 2024)</w:t>
      </w:r>
      <w:r>
        <w:t xml:space="preserve">.</w:t>
      </w:r>
      <w:r>
        <w:t xml:space="preserve"> </w:t>
      </w: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(Eckardt et al., 2021)</w:t>
      </w:r>
      <w:r>
        <w:t xml:space="preserve">.</w:t>
      </w:r>
    </w:p>
    <w:bookmarkEnd w:id="49"/>
    <w:bookmarkStart w:id="60" w:name="amostragem-de-solo"/>
    <w:p>
      <w:pPr>
        <w:pStyle w:val="Heading2"/>
      </w:pPr>
      <w:r>
        <w:t xml:space="preserve">2.3 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51" name="Picture"/>
            <a:graphic>
              <a:graphicData uri="http://schemas.openxmlformats.org/drawingml/2006/picture">
                <pic:pic>
                  <pic:nvPicPr>
                    <pic:cNvPr descr="chapters/../figures/trincheira.png" id="52" name="Picture"/>
                    <pic:cNvPicPr>
                      <a:picLocks noChangeArrowheads="1" noChangeAspect="1"/>
                    </pic:cNvPicPr>
                  </pic:nvPicPr>
                  <pic:blipFill>
                    <a:blip r:embed="rId50"/>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r>
        <w:t xml:space="preserve"> </w:t>
      </w:r>
      <w:r>
        <w:t xml:space="preserve">### 2.6.1 Análises físicas</w:t>
      </w:r>
    </w:p>
    <w:p>
      <w:pPr>
        <w:pStyle w:val="BodyText"/>
      </w:pPr>
      <w:r>
        <w:t xml:space="preserve">A determinação da distribuição dos tamanhos das partículas do solo foi realizada em amostras deformadas por meio do método da pipeta</w:t>
      </w:r>
      <w:r>
        <w:t xml:space="preserve"> </w:t>
      </w:r>
      <w:r>
        <w:t xml:space="preserve">(Teixeira et al., 2017)</w:t>
      </w:r>
      <w:r>
        <w:t xml:space="preserve"> </w:t>
      </w:r>
      <w:r>
        <w:t xml:space="preserve">(TABELA 2). A determinação da densidade do solo foi realizada por meio do método do cilindro volumétrico, conforme descrito por</w:t>
      </w:r>
      <w:r>
        <w:t xml:space="preserve"> </w:t>
      </w:r>
      <w:r>
        <w:t xml:space="preserve">Teixeira et al. (2017)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Start w:id="56" w:name="análises-químicas"/>
    <w:p>
      <w:pPr>
        <w:pStyle w:val="Heading3"/>
      </w:pPr>
      <w:r>
        <w:t xml:space="preserve">2.3.1 2.6.2 Análises químicas</w:t>
      </w:r>
    </w:p>
    <w:bookmarkStart w:id="53" w:name="determinação-do-fósforo-total-no-solo"/>
    <w:p>
      <w:pPr>
        <w:pStyle w:val="Heading4"/>
      </w:pPr>
      <w:r>
        <w:t xml:space="preserve">2.3.1.1 2.6.2.1 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53"/>
    <w:bookmarkStart w:id="54" w:name="Xecda8a82852bede99bd80438476c9877349334f"/>
    <w:p>
      <w:pPr>
        <w:pStyle w:val="Heading4"/>
      </w:pPr>
      <w:r>
        <w:t xml:space="preserve">2.3.1.2 2.6.2.2 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54"/>
    <w:bookmarkStart w:id="55" w:name="determinação-dos-estoques-de-fósforo"/>
    <w:p>
      <w:pPr>
        <w:pStyle w:val="Heading4"/>
      </w:pPr>
      <w:r>
        <w:t xml:space="preserve">2.3.1.3 2.6.2.3 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r>
        <w:t xml:space="preserve"> </w:t>
      </w:r>
      <w:r>
        <w:t xml:space="preserve">EstP = TP x Ds x e</w:t>
      </w:r>
      <w:r>
        <w:t xml:space="preserve"> </w:t>
      </w:r>
      <w:r>
        <w:t xml:space="preserve">Em que:</w:t>
      </w:r>
      <w:r>
        <w:t xml:space="preserve"> </w:t>
      </w:r>
      <w:r>
        <w:t xml:space="preserve">EstP = Estoque de P na camada do solo, em Mg ha-1;</w:t>
      </w:r>
      <w:r>
        <w:t xml:space="preserve"> </w:t>
      </w:r>
      <w:r>
        <w:t xml:space="preserve">TP = Teor de P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55"/>
    <w:bookmarkEnd w:id="56"/>
    <w:bookmarkStart w:id="57" w:name="determinação-do-nitrogênio-total-no-solo"/>
    <w:p>
      <w:pPr>
        <w:pStyle w:val="Heading3"/>
      </w:pPr>
      <w:r>
        <w:t xml:space="preserve">2.3.2 2.6.3 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7"/>
    <w:bookmarkStart w:id="58" w:name="X16760ac3e484c0e15b144a4605b607e33bea118"/>
    <w:p>
      <w:pPr>
        <w:pStyle w:val="Heading3"/>
      </w:pPr>
      <w:r>
        <w:t xml:space="preserve">2.3.3 2.6.4 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BodyText"/>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ha-1, em cada profundidade amostrada, conforme a equação (Equação 2) a seguir:</w:t>
      </w:r>
    </w:p>
    <w:p>
      <w:pPr>
        <w:pStyle w:val="BodyText"/>
      </w:pPr>
      <w:r>
        <w:t xml:space="preserve">Est(N)= TN</w:t>
      </w:r>
      <w:r>
        <w:rPr>
          <w:i/>
          <w:iCs/>
        </w:rPr>
        <w:t xml:space="preserve">Ds</w:t>
      </w:r>
      <w:r>
        <w:t xml:space="preserve">e</w:t>
      </w:r>
    </w:p>
    <w:p>
      <w:pPr>
        <w:pStyle w:val="BodyText"/>
      </w:pPr>
      <w:r>
        <w:t xml:space="preserve">Em que: Est(N) = Estoque de N na camada do solo, em Mg ha-1; TN = Teor de N na fração amostrada de solo, em g kg-1; Ds = Densidade do solo, em g cm-3;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8"/>
    <w:bookmarkStart w:id="59" w:name="determinação-dos-estoques-de-nitrogênio"/>
    <w:p>
      <w:pPr>
        <w:pStyle w:val="Heading3"/>
      </w:pPr>
      <w:r>
        <w:t xml:space="preserve">2.3.4 2.6.5 Determinação dos estoques de Nitrogênio</w:t>
      </w:r>
    </w:p>
    <w:p>
      <w:pPr>
        <w:pStyle w:val="FirstParagraph"/>
      </w:pPr>
      <w:r>
        <w:t xml:space="preserve">Após a obter os teores de N pelos métodos citados anteriormente, foi realizada a determinação do estoque N no solo e nas frações húmicas em Mg ha-1, em cada profundidade amostrada, conforme a equação a seguir:</w:t>
      </w:r>
    </w:p>
    <w:p>
      <w:pPr>
        <w:pStyle w:val="BodyText"/>
      </w:pPr>
      <w:r>
        <w:t xml:space="preserve">Est(N)= TN</w:t>
      </w:r>
      <w:r>
        <w:rPr>
          <w:i/>
          <w:iCs/>
        </w:rPr>
        <w:t xml:space="preserve">Ds</w:t>
      </w:r>
      <w:r>
        <w:t xml:space="preserve">e</w:t>
      </w:r>
      <w:r>
        <w:t xml:space="preserve"> </w:t>
      </w: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9"/>
    <w:bookmarkEnd w:id="60"/>
    <w:bookmarkStart w:id="62" w:name="análises-estatísticas"/>
    <w:p>
      <w:pPr>
        <w:pStyle w:val="Heading2"/>
      </w:pPr>
      <w:r>
        <w:t xml:space="preserve">2.4 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61" w:name="Xf524f42d386d26ec44b1e85c644b9bb475bd9f9"/>
    <w:p>
      <w:pPr>
        <w:pStyle w:val="Heading3"/>
      </w:pPr>
      <w:r>
        <w:t xml:space="preserve">2.4.1 2.7.1 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 (R Core Team, 2023), utilizando o pacote</w:t>
      </w:r>
      <w:r>
        <w:t xml:space="preserve"> </w:t>
      </w:r>
      <w:r>
        <w:rPr>
          <w:rStyle w:val="VerbatimChar"/>
        </w:rPr>
        <w:t xml:space="preserve">pls</w:t>
      </w:r>
      <w:r>
        <w:t xml:space="preserve"> </w:t>
      </w:r>
      <w:r>
        <w:t xml:space="preserve">(Mevik &amp; Wehrens, 2007).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61"/>
    <w:bookmarkEnd w:id="62"/>
    <w:bookmarkStart w:id="67" w:name="modelagem-proposta"/>
    <w:p>
      <w:pPr>
        <w:pStyle w:val="Heading2"/>
      </w:pPr>
      <w:r>
        <w:t xml:space="preserve">2.5 Modelagem Proposta</w:t>
      </w:r>
    </w:p>
    <w:p>
      <w:pPr>
        <w:pStyle w:val="FirstParagraph"/>
      </w:pPr>
      <w:r>
        <w:t xml:space="preserve">O presente estudo teve como objetivo avaliar o funcionamento biogeoquímico do solo em sistemas contrastantes de uso da terra, com ênfase na dinâmica funcional dos elementos nitrogênio (N) e fósforo (P), integrando suas formas lábeis e húmicas aos estoques totais. Para isso, foram adotadas duas abordagens complementares: a modelagem por equações estruturais com mínimos quadrados parciais (PLS-SEM) e um sistema de inferência fuzzy do tipo Mamdani, destinado à construção de um Índice Fuzzy de Sustentação Nutricional Fuzzy (FSNSI). Nesse modelo, a densidade do solo (Ds) foi incorporada como variável penalizadora, assumindo que valores mais elevados de densidade refletem condições físicas menos favoráveis à conservação da estrutura do solo e à atividade biológica. Para tal, os dados de Ds foram normalizados de forma invertida, de modo que maiores densidades recebessem notas mais baixas na escala fuzzy, amplificando o impacto negativo dessa condição sobre o valor final do índice.</w:t>
      </w:r>
    </w:p>
    <w:p>
      <w:pPr>
        <w:pStyle w:val="BodyText"/>
      </w:pPr>
      <w:r>
        <w:t xml:space="preserve">Adicionalmente, as frações granulométricas do solo (areia, silte e argila) foram introduzidas no processo analítico como covariáveis de controle, com o objetivo de mitigar o viés potencial decorrente de diferenças texturais naturais entre os ambientes avaliados. Embora essas variáveis não tenham sido incorporadas diretamente ao sistema fuzzy como entradas decisórias, sua normalização e análise paralela permitiram contextualizar as respostas funcionais observadas, assegurando que os efeitos inferidos para Ds, N total e P total refletissem predominantemente condições associadas ao uso e manejo do solo, e não à sua classe textural de origem.</w:t>
      </w:r>
    </w:p>
    <w:p>
      <w:pPr>
        <w:pStyle w:val="BodyText"/>
      </w:pPr>
      <w:r>
        <w:t xml:space="preserve">O índice FSNSI foi estruturado com base em um sistema fuzzy do tipo Mamdani, composto por três componentes formais principais: a normalização conservadora das variáveis de entrada para escala [0.10], com inversão aplicada à densidade do solo dada sua relação inversa com qualidade física; a definição de funções de pertinência triangulares e regras linguísticas baseadas em conhecimento especializado; e a defuzzificação dos valores por meio do método do centróide, resultando em um valor contínuo de desempenho funcional do solo.</w:t>
      </w:r>
      <w:r>
        <w:t xml:space="preserve"> </w:t>
      </w:r>
      <w:r>
        <w:t xml:space="preserve">As variáveis de entrada selecionadas representaram frações funcionais da matéria orgânica do solo e atributos físicos, incluindo N total, P total (valores médios de concentrações e estoques de nitrogênio e fósforo), e densidade do solo (Ds) como variável limitante associada à degradação física. Adicionalmente, os teores de areia, silte e argila foram considerados covariáveis de controle. Todas as variáveis foram derivadas de um conjunto mais amplo de atributos edáficos medidos em áreas com diferentes históricos de uso e cobertura da terra.</w:t>
      </w:r>
    </w:p>
    <w:bookmarkStart w:id="63" w:name="normalização-das-variáveis"/>
    <w:p>
      <w:pPr>
        <w:pStyle w:val="Heading4"/>
      </w:pPr>
      <w:r>
        <w:t xml:space="preserve">2.5.0.1 2.8.3 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r>
        <w:t xml:space="preserve"> </w:t>
      </w:r>
      <w:r>
        <w:t xml:space="preserve">x_norm=10* (x- x_min)/(x_max- x_min ) ,com x ∈ [ x_min- x_max]</w:t>
      </w:r>
      <w:r>
        <w:t xml:space="preserve"> </w:t>
      </w:r>
      <w:r>
        <w:t xml:space="preserve">Em que,</w:t>
      </w:r>
      <w:r>
        <w:t xml:space="preserve"> </w:t>
      </w:r>
      <w:r>
        <w:t xml:space="preserve">x: valor original da variável</w:t>
      </w:r>
      <w:r>
        <w:t xml:space="preserve"> </w:t>
      </w:r>
      <w:r>
        <w:t xml:space="preserve">xmin é o menor valor observado da variável x,</w:t>
      </w:r>
      <w:r>
        <w:t xml:space="preserve"> </w:t>
      </w:r>
      <w:r>
        <w:t xml:space="preserve">xmax é o maior valor observado da variável x e</w:t>
      </w:r>
      <w:r>
        <w:t xml:space="preserve"> </w:t>
      </w:r>
      <w:r>
        <w:t xml:space="preserve">xnorm sendo o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t xml:space="preserve">x_norm=10* (x_max- x)/(x_max- x_min ) ,com x ∈ [ x_min- x_max]</w:t>
      </w:r>
      <w:r>
        <w:t xml:space="preserve"> </w:t>
      </w:r>
      <w:r>
        <w:t xml:space="preserve">Que,</w:t>
      </w:r>
      <w:r>
        <w:t xml:space="preserve"> </w:t>
      </w:r>
      <w:r>
        <w:t xml:space="preserve">Quando x = xmin, então xnorm =10 → melhor valor.</w:t>
      </w:r>
      <w:r>
        <w:t xml:space="preserve"> </w:t>
      </w:r>
      <w:r>
        <w:t xml:space="preserve">Quando x = xmax, então xnorm =0 → pior valor.</w:t>
      </w:r>
    </w:p>
    <w:p>
      <w:pPr>
        <w:pStyle w:val="BodyText"/>
      </w:pPr>
      <w:r>
        <w:t xml:space="preserve">Em ambos os casos, valores não finitos ou constantes foram tratados com imputações neutras (nota 5), assegurando robustez numérica.</w:t>
      </w:r>
    </w:p>
    <w:bookmarkEnd w:id="63"/>
    <w:bookmarkStart w:id="64" w:name="Xb683cb8459d339fa73c0c8ff9890d16a08349c2"/>
    <w:p>
      <w:pPr>
        <w:pStyle w:val="Heading4"/>
      </w:pPr>
      <w:r>
        <w:t xml:space="preserve">2.5.0.2 2.8.4 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t xml:space="preserve">μbaixa (x)=max⁡(min((x-a)/(b-a),(c-x)/(c-b)),0),com(a,b,c)=(0,0,4)</w:t>
      </w:r>
    </w:p>
    <w:p>
      <w:pPr>
        <w:pStyle w:val="BodyText"/>
      </w:pPr>
      <w:r>
        <w:t xml:space="preserve">μmmédia (x)=max⁡(min((x-a)/(b-a),(c-x)/(c-b)),0),com(a,b,c)=(3,5,7)</w:t>
      </w:r>
    </w:p>
    <w:p>
      <w:pPr>
        <w:pStyle w:val="BodyText"/>
      </w:pPr>
      <w:r>
        <w:t xml:space="preserve">μmalta (x)=max⁡(min((x-a)/(b-a),(c-x)/(c-b)),0),com(a,b,c)=(6,10,10)</w:t>
      </w:r>
    </w:p>
    <w:p>
      <w:pPr>
        <w:pStyle w:val="BodyText"/>
      </w:pPr>
      <w:r>
        <w:t xml:space="preserve">O domínio da função triangular foi ajustado de forma a garantir sobreposição entre os termos, permitindo inferências contínuas e suavizadas.</w:t>
      </w:r>
    </w:p>
    <w:bookmarkEnd w:id="64"/>
    <w:bookmarkStart w:id="65" w:name="base-de-regras-fuzzy"/>
    <w:p>
      <w:pPr>
        <w:pStyle w:val="Heading4"/>
      </w:pPr>
      <w:r>
        <w:t xml:space="preserve">2.5.0.3 2.8.5 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w:r>
        <w:t xml:space="preserve">R_(i ):SE x_1 ∈ A_1 ∧ x_2 ∈ A_2 ∧ x_3 ∈ A_3⇒y ∈ B_i</w:t>
      </w:r>
    </w:p>
    <w:p>
      <w:pPr>
        <w:pStyle w:val="BodyText"/>
      </w:pPr>
      <w:r>
        <w:t xml:space="preserve">A ativação de cada regra R_(i ) foi calculada conforme a Equação 7:</w:t>
      </w:r>
    </w:p>
    <w:p>
      <w:pPr>
        <w:pStyle w:val="BodyText"/>
      </w:pPr>
      <m:oMathPara>
        <m:oMathParaPr>
          <m:jc m:val="center"/>
        </m:oMathParaPr>
        <m:oMath>
          <m:sSub>
            <m:e>
              <m:r>
                <m:t>α</m:t>
              </m:r>
            </m:e>
            <m:sub>
              <m:r>
                <m:t>i</m:t>
              </m:r>
            </m:sub>
          </m:sSub>
          <m:r>
            <m:rPr>
              <m:sty m:val="p"/>
            </m:rPr>
            <m:t>=</m:t>
          </m:r>
          <m:r>
            <m:rPr>
              <m:sty m:val="p"/>
            </m:rPr>
            <m:t>min</m:t>
          </m:r>
          <m:d>
            <m:dPr>
              <m:begChr m:val="("/>
              <m:sepChr m:val=""/>
              <m:endChr m:val=")"/>
              <m:grow/>
            </m:dPr>
            <m:e>
              <m:sSub>
                <m:e>
                  <m:r>
                    <m:t>μ</m:t>
                  </m:r>
                </m:e>
                <m:sub>
                  <m:r>
                    <m:t>A</m:t>
                  </m:r>
                  <m:r>
                    <m:t>1</m:t>
                  </m:r>
                </m:sub>
              </m:sSub>
              <m:d>
                <m:dPr>
                  <m:begChr m:val="("/>
                  <m:sepChr m:val=""/>
                  <m:endChr m:val=")"/>
                  <m:grow/>
                </m:dPr>
                <m:e>
                  <m:sSub>
                    <m:e>
                      <m:r>
                        <m:t>x</m:t>
                      </m:r>
                    </m:e>
                    <m:sub>
                      <m:r>
                        <m:t>1</m:t>
                      </m:r>
                    </m:sub>
                  </m:sSub>
                </m:e>
              </m:d>
              <m:r>
                <m:rPr>
                  <m:sty m:val="p"/>
                </m:rPr>
                <m:t>,</m:t>
              </m:r>
              <m:sSub>
                <m:e>
                  <m:r>
                    <m:t>μ</m:t>
                  </m:r>
                </m:e>
                <m:sub>
                  <m:r>
                    <m:t>A</m:t>
                  </m:r>
                  <m:r>
                    <m:t>2</m:t>
                  </m:r>
                </m:sub>
              </m:sSub>
              <m:d>
                <m:dPr>
                  <m:begChr m:val="("/>
                  <m:sepChr m:val=""/>
                  <m:endChr m:val=")"/>
                  <m:grow/>
                </m:dPr>
                <m:e>
                  <m:sSub>
                    <m:e>
                      <m:r>
                        <m:t>x</m:t>
                      </m:r>
                    </m:e>
                    <m:sub>
                      <m:r>
                        <m:t>2</m:t>
                      </m:r>
                    </m:sub>
                  </m:sSub>
                </m:e>
              </m:d>
              <m:r>
                <m:rPr>
                  <m:sty m:val="p"/>
                </m:rPr>
                <m:t>,</m:t>
              </m:r>
              <m:r>
                <m:rPr>
                  <m:sty m:val="p"/>
                </m:rPr>
                <m:t>…</m:t>
              </m:r>
              <m:r>
                <m:rPr>
                  <m:sty m:val="p"/>
                </m:rPr>
                <m:t>,</m:t>
              </m:r>
              <m:sSub>
                <m:e>
                  <m:r>
                    <m:t>μ</m:t>
                  </m:r>
                </m:e>
                <m:sub>
                  <m:r>
                    <m:t>A</m:t>
                  </m:r>
                  <m:r>
                    <m:t>n</m:t>
                  </m:r>
                </m:sub>
              </m:sSub>
              <m:d>
                <m:dPr>
                  <m:begChr m:val="("/>
                  <m:sepChr m:val=""/>
                  <m:endChr m:val=")"/>
                  <m:grow/>
                </m:dPr>
                <m:e>
                  <m:sSub>
                    <m:e>
                      <m:r>
                        <m:t>x</m:t>
                      </m:r>
                    </m:e>
                    <m:sub>
                      <m:r>
                        <m:t>n</m:t>
                      </m:r>
                    </m:sub>
                  </m:sSub>
                </m:e>
              </m:d>
            </m:e>
          </m:d>
        </m:oMath>
      </m:oMathPara>
    </w:p>
    <w:p>
      <w:pPr>
        <w:pStyle w:val="FirstParagraph"/>
      </w:pPr>
      <w:r>
        <w:t xml:space="preserve">O valor de saída correspondente μ_Bi (z) foi ponderado por αi 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65"/>
    <w:bookmarkStart w:id="66" w:name="defuzzificação-do-índice-funcional"/>
    <w:p>
      <w:pPr>
        <w:pStyle w:val="Heading4"/>
      </w:pPr>
      <w:r>
        <w:t xml:space="preserve">2.5.0.4 2.8.6 Defuzzificação do índice funcional</w:t>
      </w:r>
    </w:p>
    <w:p>
      <w:pPr>
        <w:pStyle w:val="FirstParagraph"/>
      </w:pPr>
      <w:r>
        <w:t xml:space="preserve">O valor final do índice FSNSI foi obtido por meio do processo de defuzzificação por centróide, conforme Equação 8:</w:t>
      </w:r>
      <w:r>
        <w:t xml:space="preserve"> </w:t>
      </w:r>
      <w:r>
        <w:t xml:space="preserve">FSNSI= (∫_0^10〖μFSNSI (z)*zdz〗)/(∫_0^10〖μFSNSI (z)*dz〗)</w:t>
      </w:r>
    </w:p>
    <w:p>
      <w:pPr>
        <w:pStyle w:val="BodyText"/>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66"/>
    <w:bookmarkEnd w:id="67"/>
    <w:bookmarkEnd w:id="68"/>
    <w:bookmarkStart w:id="107" w:name="Xf4962b7422acc80f1096ca04252bc5db5489ba0"/>
    <w:p>
      <w:pPr>
        <w:pStyle w:val="Heading1"/>
      </w:pPr>
      <w:r>
        <w:t xml:space="preserve">3. Importância das frações de N e P para predição dos estoques totais (PLSR)</w:t>
      </w:r>
    </w:p>
    <w:p>
      <w:pPr>
        <w:pStyle w:val="FirstParagraph"/>
      </w:pPr>
      <w:r>
        <w:t xml:space="preserve">﻿# Resultados e Discussão</w:t>
      </w:r>
    </w:p>
    <w:p>
      <w:pPr>
        <w:pStyle w:val="BodyText"/>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9" w:name="predição-do-nitrogênio-total"/>
    <w:p>
      <w:pPr>
        <w:pStyle w:val="Heading3"/>
      </w:pPr>
      <w:r>
        <w:t xml:space="preserve">3.0.1 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r>
        <w:t xml:space="preserve"> </w:t>
      </w:r>
      <w:r>
        <w:t xml:space="preserve">Os resultados demonstram que as frações húmicas NTHum e NTAH são as preditoras mais importantes (VIP &gt; 1.0), indicando sua dominância na explicação dos estoques totais de N. As frações lábeis NLabil e NMOL também contribuem significativamente (VIP 0.8-1.0), enquanto NTAF apresenta relevância moderada (Figura 4). Esse padrão reflete a importância das frações húmicas como reservatórios estáveis de N em solos tropicais, corroborando estudos que destacam seu papel na sustentabilidade nutricional</w:t>
      </w:r>
      <w:r>
        <w:t xml:space="preserve"> </w:t>
      </w:r>
      <w:r>
        <w:t xml:space="preserve">(Paul, 2016)</w:t>
      </w:r>
      <w:r>
        <w:t xml:space="preserve">.</w:t>
      </w:r>
    </w:p>
    <w:p>
      <w:pPr>
        <w:pStyle w:val="BodyText"/>
      </w:pPr>
      <w:r>
        <w:t xml:space="preserve">A Tabela 2 sintetiza os escores de importância na projeção (VIP) obtidos a partir do modelo PLSR. O modelo foi estimado com duas componentes latentes, que explicaram mais de 80% da variância acumulada entre preditores e resposta, com validação cruzada leave-one-out para checagem da robustez preditiva. As frações húmicas especialmente NTHum (VIP ˜ 1.2–1.5) e NTAH (VIP ˜ 1.1–1.3), apresentaram os maiores valores de VIP, caracterizando-se como preditores críticos para a variabilidade do nitrogênio total (NT). As frações lábeis (NLabil e NMOL) exibiram VIP próximos a 0.8–1.0, indicando contribuição relevante porém secundária, enquanto NTAF mostrou relevância moderada (VIP &lt; 0.8).</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9"/>
    <w:bookmarkStart w:id="74" w:name="predição-do-fósforo-total"/>
    <w:p>
      <w:pPr>
        <w:pStyle w:val="Heading3"/>
      </w:pPr>
      <w:r>
        <w:t xml:space="preserve">3.0.2 3.1.2 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(Tivet et al., 2013, Helfenstein et al., 2020)</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73" w:name="fig:5"/>
      <w:r>
        <w:drawing>
          <wp:inline>
            <wp:extent cx="4800600" cy="3840480"/>
            <wp:effectExtent b="0" l="0" r="0" t="0"/>
            <wp:docPr descr="Figura 5. Biplot PLSR para PT, mostrando scores das amostras por uso da terra e loadings das variáveis preditoras de fósforo." title="" id="71" name="Picture"/>
            <a:graphic>
              <a:graphicData uri="http://schemas.openxmlformats.org/drawingml/2006/picture">
                <pic:pic>
                  <pic:nvPicPr>
                    <pic:cNvPr descr="chapters/../figures/biplot_plsr_pt.png" id="72" name="Picture"/>
                    <pic:cNvPicPr>
                      <a:picLocks noChangeArrowheads="1" noChangeAspect="1"/>
                    </pic:cNvPicPr>
                  </pic:nvPicPr>
                  <pic:blipFill>
                    <a:blip r:embed="rId70"/>
                    <a:stretch>
                      <a:fillRect/>
                    </a:stretch>
                  </pic:blipFill>
                  <pic:spPr bwMode="auto">
                    <a:xfrm>
                      <a:off x="0" y="0"/>
                      <a:ext cx="4800600" cy="3840480"/>
                    </a:xfrm>
                    <a:prstGeom prst="rect">
                      <a:avLst/>
                    </a:prstGeom>
                    <a:noFill/>
                    <a:ln w="9525">
                      <a:noFill/>
                      <a:headEnd/>
                      <a:tailEnd/>
                    </a:ln>
                  </pic:spPr>
                </pic:pic>
              </a:graphicData>
            </a:graphic>
          </wp:inline>
        </w:drawing>
      </w:r>
      <w:bookmarkEnd w:id="73"/>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74"/>
    <w:bookmarkStart w:id="85" w:name="X04467b2d2b68003ceaea6d2df8ca10d77b4c5fe"/>
    <w:p>
      <w:pPr>
        <w:pStyle w:val="Heading2"/>
      </w:pPr>
      <w:r>
        <w:t xml:space="preserve">Relações estruturais entre frações lábeis, húmicas e estoques totais (PLS-SEM)</w:t>
      </w:r>
    </w:p>
    <w:bookmarkStart w:id="79" w:name="resultados-do-modelo-estrutural-global"/>
    <w:p>
      <w:pPr>
        <w:pStyle w:val="Heading3"/>
      </w:pPr>
      <w:r>
        <w:t xml:space="preserve">3.0.3 3.2.1 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BodyText"/>
      </w:pPr>
      <w:bookmarkStart w:id="78" w:name="fig:6"/>
      <w:r>
        <w:drawing>
          <wp:inline>
            <wp:extent cx="5067300" cy="4299424"/>
            <wp:effectExtent b="0" l="0" r="0" t="0"/>
            <wp:docPr descr="Figura 6. Análise de caminhos do modelo PLS-SEM evidenciando as relações estruturais entre variáveis latentes (frações de nitrogênio e fósforo) e indicadores observáveis." title="" id="76" name="Picture"/>
            <a:graphic>
              <a:graphicData uri="http://schemas.openxmlformats.org/drawingml/2006/picture">
                <pic:pic>
                  <pic:nvPicPr>
                    <pic:cNvPr descr="chapters/../figures/analise_caminhos_pls.png" id="77" name="Picture"/>
                    <pic:cNvPicPr>
                      <a:picLocks noChangeArrowheads="1" noChangeAspect="1"/>
                    </pic:cNvPicPr>
                  </pic:nvPicPr>
                  <pic:blipFill>
                    <a:blip r:embed="rId75"/>
                    <a:stretch>
                      <a:fillRect/>
                    </a:stretch>
                  </pic:blipFill>
                  <pic:spPr bwMode="auto">
                    <a:xfrm>
                      <a:off x="0" y="0"/>
                      <a:ext cx="5067300" cy="4299424"/>
                    </a:xfrm>
                    <a:prstGeom prst="rect">
                      <a:avLst/>
                    </a:prstGeom>
                    <a:noFill/>
                    <a:ln w="9525">
                      <a:noFill/>
                      <a:headEnd/>
                      <a:tailEnd/>
                    </a:ln>
                  </pic:spPr>
                </pic:pic>
              </a:graphicData>
            </a:graphic>
          </wp:inline>
        </w:drawing>
      </w:r>
      <w:bookmarkEnd w:id="78"/>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(Pegoraro et al., 2011, Ferreira et al., 2021)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(Marinho Junior et al., 2021, Araújo Filho et al., 2024)</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9"/>
    <w:bookmarkStart w:id="84" w:name="X7027ba980ad7c918e6a8ee94dc578b9f2dbe914"/>
    <w:p>
      <w:pPr>
        <w:pStyle w:val="Heading3"/>
      </w:pPr>
      <w:r>
        <w:t xml:space="preserve">3.0.4 3.2.3 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83" w:name="fig:7"/>
    <w:p>
      <w:pPr>
        <w:pStyle w:val="CaptionedFigure"/>
      </w:pPr>
      <w:r>
        <w:drawing>
          <wp:inline>
            <wp:extent cx="5067300" cy="337820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81" name="Picture"/>
            <a:graphic>
              <a:graphicData uri="http://schemas.openxmlformats.org/drawingml/2006/picture">
                <pic:pic>
                  <pic:nvPicPr>
                    <pic:cNvPr descr="chapters/../figures/comparacao_coeficientes.png" id="82" name="Picture"/>
                    <pic:cNvPicPr>
                      <a:picLocks noChangeArrowheads="1" noChangeAspect="1"/>
                    </pic:cNvPicPr>
                  </pic:nvPicPr>
                  <pic:blipFill>
                    <a:blip r:embed="rId80"/>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83"/>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(Pegoraro et al., 2011, Ferreira et al., 2021)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TableCaption"/>
      </w:pPr>
      <w:r>
        <w:t xml:space="preserve">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type="pct" w:w="5000"/>
        <w:tblLayout w:type="fixed"/>
        <w:tblLook w:firstRow="1" w:lastRow="0" w:firstColumn="0" w:lastColumn="0" w:noHBand="0" w:noVBand="0" w:val="002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232"/>
        <w:gridCol w:w="1672"/>
        <w:gridCol w:w="1672"/>
        <w:gridCol w:w="1672"/>
        <w:gridCol w:w="1672"/>
      </w:tblGrid>
      <w:tr>
        <w:trPr>
          <w:tblHeader w:val="on"/>
        </w:trPr>
        <w:tc>
          <w:tcPr/>
          <w:p>
            <w:pPr>
              <w:pStyle w:val="Compact"/>
            </w:pPr>
            <w:r>
              <w:t xml:space="preserve">Uso da Terra</w:t>
            </w:r>
          </w:p>
        </w:tc>
        <w:tc>
          <w:tcPr/>
          <w:p>
            <w:pPr>
              <w:pStyle w:val="Compact"/>
            </w:pPr>
            <w:r>
              <w:t xml:space="preserve">N_húmico ? N_total</w:t>
            </w:r>
          </w:p>
        </w:tc>
        <w:tc>
          <w:tcPr/>
          <w:p>
            <w:pPr>
              <w:pStyle w:val="Compact"/>
            </w:pPr>
            <w:r>
              <w:t xml:space="preserve">N_lábil ? N_total</w:t>
            </w:r>
          </w:p>
        </w:tc>
        <w:tc>
          <w:tcPr/>
          <w:p>
            <w:pPr>
              <w:pStyle w:val="Compact"/>
            </w:pPr>
            <w:r>
              <w:t xml:space="preserve">P_húmico ? P_total</w:t>
            </w:r>
          </w:p>
        </w:tc>
        <w:tc>
          <w:tcPr/>
          <w:p>
            <w:pPr>
              <w:pStyle w:val="Compact"/>
            </w:pPr>
            <w:r>
              <w:t xml:space="preserve">P_lábil ? P_total</w:t>
            </w:r>
          </w:p>
        </w:tc>
      </w:tr>
      <w:tr>
        <w:tc>
          <w:tcPr/>
          <w:p>
            <w:pPr>
              <w:pStyle w:val="Compact"/>
            </w:pPr>
            <w:r>
              <w:t xml:space="preserve">Cerrado</w:t>
            </w:r>
          </w:p>
        </w:tc>
        <w:tc>
          <w:tcPr/>
          <w:p>
            <w:pPr>
              <w:pStyle w:val="Compact"/>
            </w:pPr>
            <w:r>
              <w:t xml:space="preserve">1.286</w:t>
            </w:r>
          </w:p>
        </w:tc>
        <w:tc>
          <w:tcPr/>
          <w:p>
            <w:pPr>
              <w:pStyle w:val="Compact"/>
            </w:pPr>
            <w:r>
              <w:t xml:space="preserve">-0.313</w:t>
            </w:r>
          </w:p>
        </w:tc>
        <w:tc>
          <w:tcPr/>
          <w:p>
            <w:pPr>
              <w:pStyle w:val="Compact"/>
            </w:pPr>
            <w:r>
              <w:t xml:space="preserve">1.286</w:t>
            </w:r>
          </w:p>
        </w:tc>
        <w:tc>
          <w:tcPr/>
          <w:p>
            <w:pPr>
              <w:pStyle w:val="Compact"/>
            </w:pPr>
            <w:r>
              <w:t xml:space="preserve">-0.313</w:t>
            </w:r>
          </w:p>
        </w:tc>
      </w:tr>
      <w:tr>
        <w:tc>
          <w:tcPr/>
          <w:p>
            <w:pPr>
              <w:pStyle w:val="Compact"/>
            </w:pPr>
            <w:r>
              <w:t xml:space="preserve">Agricultura</w:t>
            </w:r>
          </w:p>
        </w:tc>
        <w:tc>
          <w:tcPr/>
          <w:p>
            <w:pPr>
              <w:pStyle w:val="Compact"/>
            </w:pPr>
            <w:r>
              <w:t xml:space="preserve">1.180</w:t>
            </w:r>
          </w:p>
        </w:tc>
        <w:tc>
          <w:tcPr/>
          <w:p>
            <w:pPr>
              <w:pStyle w:val="Compact"/>
            </w:pPr>
            <w:r>
              <w:t xml:space="preserve">-0.237</w:t>
            </w:r>
          </w:p>
        </w:tc>
        <w:tc>
          <w:tcPr/>
          <w:p>
            <w:pPr>
              <w:pStyle w:val="Compact"/>
            </w:pPr>
            <w:r>
              <w:t xml:space="preserve">1.180</w:t>
            </w:r>
          </w:p>
        </w:tc>
        <w:tc>
          <w:tcPr/>
          <w:p>
            <w:pPr>
              <w:pStyle w:val="Compact"/>
            </w:pPr>
            <w:r>
              <w:t xml:space="preserve">-0.237</w:t>
            </w:r>
          </w:p>
        </w:tc>
      </w:tr>
      <w:tr>
        <w:tc>
          <w:tcPr/>
          <w:p>
            <w:pPr>
              <w:pStyle w:val="Compact"/>
            </w:pPr>
            <w:r>
              <w:t xml:space="preserve">Mogno-africano</w:t>
            </w:r>
          </w:p>
        </w:tc>
        <w:tc>
          <w:tcPr/>
          <w:p>
            <w:pPr>
              <w:pStyle w:val="Compact"/>
            </w:pPr>
            <w:r>
              <w:t xml:space="preserve">1.271</w:t>
            </w:r>
          </w:p>
        </w:tc>
        <w:tc>
          <w:tcPr/>
          <w:p>
            <w:pPr>
              <w:pStyle w:val="Compact"/>
            </w:pPr>
            <w:r>
              <w:t xml:space="preserve">-0.277</w:t>
            </w:r>
          </w:p>
        </w:tc>
        <w:tc>
          <w:tcPr/>
          <w:p>
            <w:pPr>
              <w:pStyle w:val="Compact"/>
            </w:pPr>
            <w:r>
              <w:t xml:space="preserve">1.271</w:t>
            </w:r>
          </w:p>
        </w:tc>
        <w:tc>
          <w:tcPr/>
          <w:p>
            <w:pPr>
              <w:pStyle w:val="Compact"/>
            </w:pPr>
            <w:r>
              <w:t xml:space="preserve">-0.277</w:t>
            </w:r>
          </w:p>
        </w:tc>
      </w:tr>
      <w:tr>
        <w:tc>
          <w:tcPr/>
          <w:p>
            <w:pPr>
              <w:pStyle w:val="Compact"/>
            </w:pPr>
            <w:r>
              <w:t xml:space="preserve">Eucalipto</w:t>
            </w:r>
          </w:p>
        </w:tc>
        <w:tc>
          <w:tcPr/>
          <w:p>
            <w:pPr>
              <w:pStyle w:val="Compact"/>
            </w:pPr>
            <w:r>
              <w:t xml:space="preserve">1.275</w:t>
            </w:r>
          </w:p>
        </w:tc>
        <w:tc>
          <w:tcPr/>
          <w:p>
            <w:pPr>
              <w:pStyle w:val="Compact"/>
            </w:pPr>
            <w:r>
              <w:t xml:space="preserve">-0.283</w:t>
            </w:r>
          </w:p>
        </w:tc>
        <w:tc>
          <w:tcPr/>
          <w:p>
            <w:pPr>
              <w:pStyle w:val="Compact"/>
            </w:pPr>
            <w:r>
              <w:t xml:space="preserve">1.275</w:t>
            </w:r>
          </w:p>
        </w:tc>
        <w:tc>
          <w:tcPr/>
          <w:p>
            <w:pPr>
              <w:pStyle w:val="Compact"/>
            </w:pPr>
            <w:r>
              <w:t xml:space="preserve">-0.283</w:t>
            </w:r>
          </w:p>
        </w:tc>
      </w:tr>
      <w:tr>
        <w:tc>
          <w:tcPr/>
          <w:p>
            <w:pPr>
              <w:pStyle w:val="Compact"/>
            </w:pPr>
            <w:r>
              <w:t xml:space="preserve">Teca</w:t>
            </w:r>
          </w:p>
        </w:tc>
        <w:tc>
          <w:tcPr/>
          <w:p>
            <w:pPr>
              <w:pStyle w:val="Compact"/>
            </w:pPr>
            <w:r>
              <w:t xml:space="preserve">1.372</w:t>
            </w:r>
          </w:p>
        </w:tc>
        <w:tc>
          <w:tcPr/>
          <w:p>
            <w:pPr>
              <w:pStyle w:val="Compact"/>
            </w:pPr>
            <w:r>
              <w:t xml:space="preserve">-0.445</w:t>
            </w:r>
          </w:p>
        </w:tc>
        <w:tc>
          <w:tcPr/>
          <w:p>
            <w:pPr>
              <w:pStyle w:val="Compact"/>
            </w:pPr>
            <w:r>
              <w:t xml:space="preserve">1.372</w:t>
            </w:r>
          </w:p>
        </w:tc>
        <w:tc>
          <w:tcPr/>
          <w:p>
            <w:pPr>
              <w:pStyle w:val="Compact"/>
            </w:pPr>
            <w:r>
              <w:t xml:space="preserve">-0.445</w:t>
            </w:r>
          </w:p>
        </w:tc>
      </w:tr>
    </w:tbl>
    <w:bookmarkEnd w:id="84"/>
    <w:bookmarkEnd w:id="85"/>
    <w:bookmarkStart w:id="105" w:name="Xb0702e275b176be45e773b87c7e40dd012ab1ae"/>
    <w:p>
      <w:pPr>
        <w:pStyle w:val="Heading2"/>
      </w:pPr>
      <w:r>
        <w:t xml:space="preserve">Integração fuzzy da funcionalidade edáfica: Índice de Sustentabilidade (FSNSI)</w:t>
      </w:r>
    </w:p>
    <w:bookmarkStart w:id="98" w:name="X8edd9a6adcf4ab94a28feea5bccec7912efedb5"/>
    <w:p>
      <w:pPr>
        <w:pStyle w:val="Heading3"/>
      </w:pPr>
      <w:r>
        <w:t xml:space="preserve">3.0.5 3.3.1 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9" w:name="fig:7"/>
    <w:p>
      <w:pPr>
        <w:pStyle w:val="CaptionedFigure"/>
      </w:pPr>
      <w:r>
        <w:drawing>
          <wp:inline>
            <wp:extent cx="4800600" cy="6000750"/>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7" name="Picture"/>
            <a:graphic>
              <a:graphicData uri="http://schemas.openxmlformats.org/drawingml/2006/picture">
                <pic:pic>
                  <pic:nvPicPr>
                    <pic:cNvPr descr="chapters/../figures/funcoes_pertinencia_entrada.png" id="88" name="Picture"/>
                    <pic:cNvPicPr>
                      <a:picLocks noChangeArrowheads="1" noChangeAspect="1"/>
                    </pic:cNvPicPr>
                  </pic:nvPicPr>
                  <pic:blipFill>
                    <a:blip r:embed="rId86"/>
                    <a:stretch>
                      <a:fillRect/>
                    </a:stretch>
                  </pic:blipFill>
                  <pic:spPr bwMode="auto">
                    <a:xfrm>
                      <a:off x="0" y="0"/>
                      <a:ext cx="4800600" cy="6000750"/>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9"/>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93" w:name="fig:8"/>
    <w:p>
      <w:pPr>
        <w:pStyle w:val="CaptionedFigure"/>
      </w:pPr>
      <w:r>
        <w:drawing>
          <wp:inline>
            <wp:extent cx="4267200" cy="2667000"/>
            <wp:effectExtent b="0" l="0" r="0" t="0"/>
            <wp:docPr descr="Figura 8. Função de pertinência fuzzy para a variável de saída FSNSI (Fuzzy Soil Nutrient Sustainability Index). Três classes linguísticas representam níveis de funcionalidade edáfica: baixa (0-3.33), média (3.34-6.66) e alta (6.67-10.0)." title="" id="91" name="Picture"/>
            <a:graphic>
              <a:graphicData uri="http://schemas.openxmlformats.org/drawingml/2006/picture">
                <pic:pic>
                  <pic:nvPicPr>
                    <pic:cNvPr descr="chapters/../figures/funcao_pertinencia_saida.png" id="92" name="Picture"/>
                    <pic:cNvPicPr>
                      <a:picLocks noChangeArrowheads="1" noChangeAspect="1"/>
                    </pic:cNvPicPr>
                  </pic:nvPicPr>
                  <pic:blipFill>
                    <a:blip r:embed="rId90"/>
                    <a:stretch>
                      <a:fillRect/>
                    </a:stretch>
                  </pic:blipFill>
                  <pic:spPr bwMode="auto">
                    <a:xfrm>
                      <a:off x="0" y="0"/>
                      <a:ext cx="4267200" cy="266700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93"/>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7" w:name="fig:9"/>
    <w:p>
      <w:pPr>
        <w:pStyle w:val="CaptionedFigure"/>
      </w:pPr>
      <w:r>
        <w:drawing>
          <wp:inline>
            <wp:extent cx="4800600" cy="3600450"/>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95" name="Picture"/>
            <a:graphic>
              <a:graphicData uri="http://schemas.openxmlformats.org/drawingml/2006/picture">
                <pic:pic>
                  <pic:nvPicPr>
                    <pic:cNvPr descr="chapters/../figures/boxplot_fsnsi_uso_terra.png" id="96" name="Picture"/>
                    <pic:cNvPicPr>
                      <a:picLocks noChangeArrowheads="1" noChangeAspect="1"/>
                    </pic:cNvPicPr>
                  </pic:nvPicPr>
                  <pic:blipFill>
                    <a:blip r:embed="rId94"/>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7"/>
    <w:p>
      <w:pPr>
        <w:pStyle w:val="BodyText"/>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8"/>
    <w:bookmarkStart w:id="103" w:name="estratificação-vertical-do-fsnsi"/>
    <w:p>
      <w:pPr>
        <w:pStyle w:val="Heading3"/>
      </w:pPr>
      <w:r>
        <w:t xml:space="preserve">3.0.6 3.3.3 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102" w:name="fig:10"/>
    <w:p>
      <w:pPr>
        <w:pStyle w:val="CaptionedFigure"/>
      </w:pPr>
      <w:r>
        <w:drawing>
          <wp:inline>
            <wp:extent cx="5067300" cy="405384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100" name="Picture"/>
            <a:graphic>
              <a:graphicData uri="http://schemas.openxmlformats.org/drawingml/2006/picture">
                <pic:pic>
                  <pic:nvPicPr>
                    <pic:cNvPr descr="chapters/../figures/fsnsi_profundidade_uso_terra.png" id="101" name="Picture"/>
                    <pic:cNvPicPr>
                      <a:picLocks noChangeArrowheads="1" noChangeAspect="1"/>
                    </pic:cNvPicPr>
                  </pic:nvPicPr>
                  <pic:blipFill>
                    <a:blip r:embed="rId99"/>
                    <a:stretch>
                      <a:fillRect/>
                    </a:stretch>
                  </pic:blipFill>
                  <pic:spPr bwMode="auto">
                    <a:xfrm>
                      <a:off x="0" y="0"/>
                      <a:ext cx="5067300" cy="405384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102"/>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103"/>
    <w:bookmarkStart w:id="104" w:name="Xa59968552af488a314325b1f8d44a6f5f1ffff6"/>
    <w:p>
      <w:pPr>
        <w:pStyle w:val="Heading3"/>
      </w:pPr>
      <w:r>
        <w:t xml:space="preserve">3.0.7 3.3.4 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(Pegoraro et al., 2011, Ferreira et al., 2021)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104"/>
    <w:bookmarkEnd w:id="105"/>
    <w:bookmarkStart w:id="106" w:name="X8a477b7d9f53564a39700b1a97e7d07a92ab0ea"/>
    <w:p>
      <w:pPr>
        <w:pStyle w:val="Heading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BodyText"/>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BodyText"/>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BodyText"/>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BodyText"/>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BodyText"/>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BodyText"/>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BodyText"/>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106"/>
    <w:bookmarkEnd w:id="107"/>
    <w:bookmarkStart w:id="108" w:name="section"/>
    <w:p>
      <w:pPr>
        <w:pStyle w:val="Heading1"/>
      </w:pPr>
      <w:r>
        <w:t xml:space="preserve">4. </w:t>
      </w:r>
    </w:p>
    <w:p>
      <w:pPr>
        <w:pStyle w:val="FirstParagraph"/>
      </w:pPr>
      <w:r>
        <w:t xml:space="preserve">﻿# Conclusão</w:t>
      </w:r>
    </w:p>
    <w:p>
      <w:pPr>
        <w:pStyle w:val="BodyText"/>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End w:id="108"/>
    <w:bookmarkStart w:id="178" w:name="referências"/>
    <w:p>
      <w:pPr>
        <w:pStyle w:val="Heading1"/>
      </w:pPr>
      <w:r>
        <w:t xml:space="preserve">Referências</w:t>
      </w:r>
    </w:p>
    <w:bookmarkStart w:id="175" w:name="refs"/>
    <w:bookmarkStart w:id="109" w:name="ref-almeida2024"/>
    <w:p>
      <w:pPr>
        <w:pStyle w:val="Bibliography"/>
      </w:pPr>
      <w:r>
        <w:t xml:space="preserve">Almeida, D. C. et al.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b/>
          <w:bCs/>
        </w:rPr>
        <w:t xml:space="preserve">48</w:t>
      </w:r>
      <w:r>
        <w:t xml:space="preserve"> p. e0240128.</w:t>
      </w:r>
    </w:p>
    <w:bookmarkEnd w:id="109"/>
    <w:bookmarkStart w:id="111" w:name="ref-araujofilho2024"/>
    <w:p>
      <w:pPr>
        <w:pStyle w:val="Bibliography"/>
      </w:pPr>
      <w:r>
        <w:t xml:space="preserve">Araújo Filho, R. N. de, M. B. G. dos S. Freire, F. J. Freire, R. L. C. Ferreira, L. M. Pereira &amp; L. D. V. Santos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b/>
          <w:bCs/>
        </w:rPr>
        <w:t xml:space="preserve">567</w:t>
      </w:r>
      <w:r>
        <w:t xml:space="preserve"> p. 122087.</w:t>
      </w:r>
      <w:r>
        <w:t xml:space="preserve"> </w:t>
      </w:r>
      <w:hyperlink r:id="rId110">
        <w:r>
          <w:rPr>
            <w:rStyle w:val="Hyperlink"/>
          </w:rPr>
          <w:t xml:space="preserve">https://doi.org/10.1016/j.foreco.2024.122087</w:t>
        </w:r>
      </w:hyperlink>
    </w:p>
    <w:bookmarkEnd w:id="111"/>
    <w:bookmarkStart w:id="112" w:name="ref-camposmontanari2024"/>
    <w:p>
      <w:pPr>
        <w:pStyle w:val="Bibliography"/>
      </w:pPr>
      <w:r>
        <w:t xml:space="preserve">Campos, A. &amp; B. Montanari (2024). Limpeza de área em plantios florestais.</w:t>
      </w:r>
      <w:r>
        <w:t xml:space="preserve"> </w:t>
      </w:r>
      <w:r>
        <w:rPr>
          <w:i/>
          <w:iCs/>
        </w:rPr>
        <w:t xml:space="preserve">Revista de Silvicultura</w:t>
      </w:r>
      <w:r>
        <w:t xml:space="preserve">.</w:t>
      </w:r>
    </w:p>
    <w:bookmarkEnd w:id="112"/>
    <w:bookmarkStart w:id="114" w:name="ref-chen2018"/>
    <w:p>
      <w:pPr>
        <w:pStyle w:val="Bibliography"/>
      </w:pPr>
      <w:r>
        <w:t xml:space="preserve">Chen, R., M. Senbayram, S. Blagodatsky, O. Myachina, K. Dittert, C. Liu, et al.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b/>
          <w:bCs/>
        </w:rPr>
        <w:t xml:space="preserve">24</w:t>
      </w:r>
      <w:r>
        <w:t xml:space="preserve">, (12) p. 5122–5134.</w:t>
      </w:r>
      <w:r>
        <w:t xml:space="preserve"> </w:t>
      </w:r>
      <w:hyperlink r:id="rId113">
        <w:r>
          <w:rPr>
            <w:rStyle w:val="Hyperlink"/>
          </w:rPr>
          <w:t xml:space="preserve">https://doi.org/10.1111/gcb.14474</w:t>
        </w:r>
      </w:hyperlink>
    </w:p>
    <w:bookmarkEnd w:id="114"/>
    <w:bookmarkStart w:id="115" w:name="ref-cho2021"/>
    <w:p>
      <w:pPr>
        <w:pStyle w:val="Bibliography"/>
      </w:pPr>
      <w:r>
        <w:t xml:space="preserve">Cho, H. S. et al. (2021). Topographic analysis of soil properties.</w:t>
      </w:r>
      <w:r>
        <w:t xml:space="preserve"> </w:t>
      </w:r>
      <w:r>
        <w:rPr>
          <w:i/>
          <w:iCs/>
        </w:rPr>
        <w:t xml:space="preserve">Soil Science Society of America Journal</w:t>
      </w:r>
      <w:r>
        <w:t xml:space="preserve">,</w:t>
      </w:r>
      <w:r>
        <w:t xml:space="preserve"> </w:t>
      </w:r>
      <w:r>
        <w:rPr>
          <w:b/>
          <w:bCs/>
        </w:rPr>
        <w:t xml:space="preserve">85</w:t>
      </w:r>
      <w:r>
        <w:t xml:space="preserve"> p.</w:t>
      </w:r>
    </w:p>
    <w:bookmarkEnd w:id="115"/>
    <w:bookmarkStart w:id="117" w:name="ref-cotrufo2019"/>
    <w:p>
      <w:pPr>
        <w:pStyle w:val="Bibliography"/>
      </w:pPr>
      <w:r>
        <w:t xml:space="preserve">Cotrufo, M. F., M. G. Ranalli, M. L. Haddix, J. Six &amp; E. Lugato (2019). Soil carbon storage informed by particulate and mineral-associated organic matter.</w:t>
      </w:r>
      <w:r>
        <w:t xml:space="preserve"> </w:t>
      </w:r>
      <w:r>
        <w:rPr>
          <w:i/>
          <w:iCs/>
        </w:rPr>
        <w:t xml:space="preserve">Nature Geoscience</w:t>
      </w:r>
      <w:r>
        <w:t xml:space="preserve">,</w:t>
      </w:r>
      <w:r>
        <w:t xml:space="preserve"> </w:t>
      </w:r>
      <w:r>
        <w:rPr>
          <w:b/>
          <w:bCs/>
        </w:rPr>
        <w:t xml:space="preserve">12</w:t>
      </w:r>
      <w:r>
        <w:t xml:space="preserve"> p. 989–994.</w:t>
      </w:r>
      <w:r>
        <w:t xml:space="preserve"> </w:t>
      </w:r>
      <w:hyperlink r:id="rId116">
        <w:r>
          <w:rPr>
            <w:rStyle w:val="Hyperlink"/>
          </w:rPr>
          <w:t xml:space="preserve">https://doi.org/10.1038/s41561-019-0484-6</w:t>
        </w:r>
      </w:hyperlink>
    </w:p>
    <w:bookmarkEnd w:id="117"/>
    <w:bookmarkStart w:id="119" w:name="ref-crespo2024"/>
    <w:p>
      <w:pPr>
        <w:pStyle w:val="Bibliography"/>
      </w:pPr>
      <w:r>
        <w:t xml:space="preserve">Crespo, C. M. G., V. C. Piscoya, R. C. P. de Melo, L. M. Pereira, L. D. V. Santos, F. S. R. Holanda, et al.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b/>
          <w:bCs/>
        </w:rPr>
        <w:t xml:space="preserve">14</w:t>
      </w:r>
      <w:r>
        <w:t xml:space="preserve"> p. 2847.</w:t>
      </w:r>
      <w:r>
        <w:t xml:space="preserve"> </w:t>
      </w:r>
      <w:hyperlink r:id="rId118">
        <w:r>
          <w:rPr>
            <w:rStyle w:val="Hyperlink"/>
          </w:rPr>
          <w:t xml:space="preserve">https://doi.org/10.3390/agronomy14122847</w:t>
        </w:r>
      </w:hyperlink>
    </w:p>
    <w:bookmarkEnd w:id="119"/>
    <w:bookmarkStart w:id="120" w:name="ref-eckardt2021"/>
    <w:p>
      <w:pPr>
        <w:pStyle w:val="Bibliography"/>
      </w:pPr>
      <w:r>
        <w:t xml:space="preserve">Eckardt, J. et al. (2021). Cultivo de milho no cerrado.</w:t>
      </w:r>
      <w:r>
        <w:t xml:space="preserve"> </w:t>
      </w:r>
      <w:r>
        <w:rPr>
          <w:i/>
          <w:iCs/>
        </w:rPr>
        <w:t xml:space="preserve">Journal of Agriculture</w:t>
      </w:r>
      <w:r>
        <w:t xml:space="preserve">.</w:t>
      </w:r>
    </w:p>
    <w:bookmarkEnd w:id="120"/>
    <w:bookmarkStart w:id="122" w:name="ref-ferreira2021"/>
    <w:p>
      <w:pPr>
        <w:pStyle w:val="Bibliography"/>
      </w:pPr>
      <w:r>
        <w:t xml:space="preserve">Ferreira, G. W. D., F. C. C. Oliveira, E. M. B. Soares, J. Schnecker, I. R. Silva &amp; A. S. Grandy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b/>
          <w:bCs/>
        </w:rPr>
        <w:t xml:space="preserve">12</w:t>
      </w:r>
      <w:r>
        <w:t xml:space="preserve">.</w:t>
      </w:r>
      <w:r>
        <w:t xml:space="preserve"> </w:t>
      </w:r>
      <w:hyperlink r:id="rId121">
        <w:r>
          <w:rPr>
            <w:rStyle w:val="Hyperlink"/>
          </w:rPr>
          <w:t xml:space="preserve">https://doi.org/10.1002/ecs2.3439</w:t>
        </w:r>
      </w:hyperlink>
    </w:p>
    <w:bookmarkEnd w:id="122"/>
    <w:bookmarkStart w:id="123" w:name="ref-hair2021"/>
    <w:p>
      <w:pPr>
        <w:pStyle w:val="Bibliography"/>
      </w:pPr>
      <w:r>
        <w:t xml:space="preserve">Hair, J. F., G. T. M. Hult, C. M. Ringle &amp; M. Sarstedt (2021).</w:t>
      </w:r>
      <w:r>
        <w:t xml:space="preserve"> </w:t>
      </w:r>
      <w:r>
        <w:rPr>
          <w:i/>
          <w:iCs/>
        </w:rPr>
        <w:t xml:space="preserve">A primer on Partial Least Squares Structural Equation Modeling (PLS-SEM)</w:t>
      </w:r>
      <w:r>
        <w:t xml:space="preserve">. Sage Publications: 3º ed.</w:t>
      </w:r>
    </w:p>
    <w:bookmarkEnd w:id="123"/>
    <w:bookmarkStart w:id="125" w:name="ref-helfenstein2020"/>
    <w:p>
      <w:pPr>
        <w:pStyle w:val="Bibliography"/>
      </w:pPr>
      <w:r>
        <w:t xml:space="preserve">Helfenstein, J., J. Jegminat, T. I. McLaren, E. Frossard &amp; A. Oberson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b/>
          <w:bCs/>
        </w:rPr>
        <w:t xml:space="preserve">156</w:t>
      </w:r>
      <w:r>
        <w:t xml:space="preserve"> p. 108193.</w:t>
      </w:r>
      <w:r>
        <w:t xml:space="preserve"> </w:t>
      </w:r>
      <w:hyperlink r:id="rId124">
        <w:r>
          <w:rPr>
            <w:rStyle w:val="Hyperlink"/>
          </w:rPr>
          <w:t xml:space="preserve">https://doi.org/10.1016/j.soilbio.2021.108193</w:t>
        </w:r>
      </w:hyperlink>
    </w:p>
    <w:bookmarkEnd w:id="125"/>
    <w:bookmarkStart w:id="126" w:name="ref-ker1997"/>
    <w:p>
      <w:pPr>
        <w:pStyle w:val="Bibliography"/>
      </w:pPr>
      <w:r>
        <w:t xml:space="preserve">Ker, J. C. (1997). Latossolos do Brasil: uma revisão.</w:t>
      </w:r>
      <w:r>
        <w:t xml:space="preserve"> </w:t>
      </w:r>
      <w:r>
        <w:rPr>
          <w:i/>
          <w:iCs/>
        </w:rPr>
        <w:t xml:space="preserve">Geonomos</w:t>
      </w:r>
      <w:r>
        <w:t xml:space="preserve">,</w:t>
      </w:r>
      <w:r>
        <w:t xml:space="preserve"> </w:t>
      </w:r>
      <w:r>
        <w:rPr>
          <w:b/>
          <w:bCs/>
        </w:rPr>
        <w:t xml:space="preserve">5</w:t>
      </w:r>
      <w:r>
        <w:t xml:space="preserve">, (1) p. 17–40.</w:t>
      </w:r>
    </w:p>
    <w:bookmarkEnd w:id="126"/>
    <w:bookmarkStart w:id="127" w:name="ref-klink2005"/>
    <w:p>
      <w:pPr>
        <w:pStyle w:val="Bibliography"/>
      </w:pPr>
      <w:r>
        <w:t xml:space="preserve">Klink, C. A. &amp; R. B. Machado (2005). Conservation of the Brazilian Cerrado.</w:t>
      </w:r>
      <w:r>
        <w:t xml:space="preserve"> </w:t>
      </w:r>
      <w:r>
        <w:rPr>
          <w:i/>
          <w:iCs/>
        </w:rPr>
        <w:t xml:space="preserve">Conservation Biology</w:t>
      </w:r>
      <w:r>
        <w:t xml:space="preserve">,</w:t>
      </w:r>
      <w:r>
        <w:t xml:space="preserve"> </w:t>
      </w:r>
      <w:r>
        <w:rPr>
          <w:b/>
          <w:bCs/>
        </w:rPr>
        <w:t xml:space="preserve">19</w:t>
      </w:r>
      <w:r>
        <w:t xml:space="preserve">, (3) p. 707–713.</w:t>
      </w:r>
    </w:p>
    <w:bookmarkEnd w:id="127"/>
    <w:bookmarkStart w:id="129"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b/>
          <w:bCs/>
        </w:rPr>
        <w:t xml:space="preserve">31</w:t>
      </w:r>
      <w:r>
        <w:t xml:space="preserve">, (9) p. 1369–1382.</w:t>
      </w:r>
      <w:r>
        <w:t xml:space="preserve"> </w:t>
      </w:r>
      <w:hyperlink r:id="rId128">
        <w:r>
          <w:rPr>
            <w:rStyle w:val="Hyperlink"/>
          </w:rPr>
          <w:t xml:space="preserve">https://doi.org/10.1002/ldr.3580</w:t>
        </w:r>
      </w:hyperlink>
    </w:p>
    <w:bookmarkEnd w:id="129"/>
    <w:bookmarkStart w:id="131" w:name="ref-leal2024"/>
    <w:p>
      <w:pPr>
        <w:pStyle w:val="Bibliography"/>
      </w:pPr>
      <w:r>
        <w:t xml:space="preserve">Leal, O. dos A., G. S. Santana, H. Knicker, F. J. González-Vila, J. A. González-Pérez &amp; D. P. Dick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b/>
          <w:bCs/>
        </w:rPr>
        <w:t xml:space="preserve">441</w:t>
      </w:r>
      <w:r>
        <w:t xml:space="preserve"> p. 116745.</w:t>
      </w:r>
      <w:r>
        <w:t xml:space="preserve"> </w:t>
      </w:r>
      <w:hyperlink r:id="rId130">
        <w:r>
          <w:rPr>
            <w:rStyle w:val="Hyperlink"/>
          </w:rPr>
          <w:t xml:space="preserve">https://doi.org/10.1016/j.geoderma.2023.116745</w:t>
        </w:r>
      </w:hyperlink>
    </w:p>
    <w:bookmarkEnd w:id="131"/>
    <w:bookmarkStart w:id="133" w:name="ref-lehmann2015"/>
    <w:p>
      <w:pPr>
        <w:pStyle w:val="Bibliography"/>
      </w:pPr>
      <w:r>
        <w:t xml:space="preserve">Lehmann, J. &amp; M. Kleber (2015). The contentious nature of soil organic matter.</w:t>
      </w:r>
      <w:r>
        <w:t xml:space="preserve"> </w:t>
      </w:r>
      <w:r>
        <w:rPr>
          <w:i/>
          <w:iCs/>
        </w:rPr>
        <w:t xml:space="preserve">Nature</w:t>
      </w:r>
      <w:r>
        <w:t xml:space="preserve">,</w:t>
      </w:r>
      <w:r>
        <w:t xml:space="preserve"> </w:t>
      </w:r>
      <w:r>
        <w:rPr>
          <w:b/>
          <w:bCs/>
        </w:rPr>
        <w:t xml:space="preserve">528</w:t>
      </w:r>
      <w:r>
        <w:t xml:space="preserve"> p. 60–68.</w:t>
      </w:r>
      <w:r>
        <w:t xml:space="preserve"> </w:t>
      </w:r>
      <w:hyperlink r:id="rId132">
        <w:r>
          <w:rPr>
            <w:rStyle w:val="Hyperlink"/>
          </w:rPr>
          <w:t xml:space="preserve">https://doi.org/10.1038/nature16069</w:t>
        </w:r>
      </w:hyperlink>
    </w:p>
    <w:bookmarkEnd w:id="133"/>
    <w:bookmarkStart w:id="135" w:name="ref-lima2023"/>
    <w:p>
      <w:pPr>
        <w:pStyle w:val="Bibliography"/>
      </w:pPr>
      <w:r>
        <w:t xml:space="preserve">Lima, J. R. S., F. V. Andrade, M. F. P. Santos &amp; E. S. Mendonça (2023). Integrating fuzzy logic and soil indicators to assess the sustainability of tropical agroecosystems.</w:t>
      </w:r>
      <w:r>
        <w:t xml:space="preserve"> </w:t>
      </w:r>
      <w:r>
        <w:rPr>
          <w:i/>
          <w:iCs/>
        </w:rPr>
        <w:t xml:space="preserve">Ecological Indicators</w:t>
      </w:r>
      <w:r>
        <w:t xml:space="preserve">,</w:t>
      </w:r>
      <w:r>
        <w:t xml:space="preserve"> </w:t>
      </w:r>
      <w:r>
        <w:rPr>
          <w:b/>
          <w:bCs/>
        </w:rPr>
        <w:t xml:space="preserve">150</w:t>
      </w:r>
      <w:r>
        <w:t xml:space="preserve"> p. 110234.</w:t>
      </w:r>
      <w:r>
        <w:t xml:space="preserve"> </w:t>
      </w:r>
      <w:hyperlink r:id="rId134">
        <w:r>
          <w:rPr>
            <w:rStyle w:val="Hyperlink"/>
          </w:rPr>
          <w:t xml:space="preserve">https://doi.org/10.1016/j.ecolind.2023.110234</w:t>
        </w:r>
      </w:hyperlink>
    </w:p>
    <w:bookmarkEnd w:id="135"/>
    <w:bookmarkStart w:id="136" w:name="ref-lopes1996"/>
    <w:p>
      <w:pPr>
        <w:pStyle w:val="Bibliography"/>
      </w:pPr>
      <w:r>
        <w:t xml:space="preserve">Lopes, A. S. &amp; L. R. G. Guilherme (1996). A career perspective on soil management in the Cerrado region of Brazil.</w:t>
      </w:r>
      <w:r>
        <w:t xml:space="preserve"> </w:t>
      </w:r>
      <w:r>
        <w:rPr>
          <w:i/>
          <w:iCs/>
        </w:rPr>
        <w:t xml:space="preserve">Advances in Agronomy</w:t>
      </w:r>
      <w:r>
        <w:t xml:space="preserve">,</w:t>
      </w:r>
      <w:r>
        <w:t xml:space="preserve"> </w:t>
      </w:r>
      <w:r>
        <w:rPr>
          <w:b/>
          <w:bCs/>
        </w:rPr>
        <w:t xml:space="preserve">57</w:t>
      </w:r>
      <w:r>
        <w:t xml:space="preserve"> p. 1–64.</w:t>
      </w:r>
    </w:p>
    <w:bookmarkEnd w:id="136"/>
    <w:bookmarkStart w:id="137" w:name="ref-machado2024"/>
    <w:p>
      <w:pPr>
        <w:pStyle w:val="Bibliography"/>
      </w:pPr>
      <w:r>
        <w:t xml:space="preserve">Machado, I. E. S. et al. (2024). Sistemas de culturas para o cultivo de soja no cerrado.</w:t>
      </w:r>
      <w:r>
        <w:t xml:space="preserve"> </w:t>
      </w:r>
      <w:r>
        <w:rPr>
          <w:i/>
          <w:iCs/>
        </w:rPr>
        <w:t xml:space="preserve">Revista Caderno Pedagógico</w:t>
      </w:r>
      <w:r>
        <w:t xml:space="preserve">,</w:t>
      </w:r>
      <w:r>
        <w:t xml:space="preserve"> </w:t>
      </w:r>
      <w:r>
        <w:rPr>
          <w:b/>
          <w:bCs/>
        </w:rPr>
        <w:t xml:space="preserve">21</w:t>
      </w:r>
      <w:r>
        <w:t xml:space="preserve">, (7) p. 1–21.</w:t>
      </w:r>
    </w:p>
    <w:bookmarkEnd w:id="137"/>
    <w:bookmarkStart w:id="139"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b/>
          <w:bCs/>
        </w:rPr>
        <w:t xml:space="preserve">26</w:t>
      </w:r>
      <w:r>
        <w:t xml:space="preserve">, (12) p. 1182–1191.</w:t>
      </w:r>
      <w:r>
        <w:t xml:space="preserve"> </w:t>
      </w:r>
      <w:hyperlink r:id="rId138">
        <w:r>
          <w:rPr>
            <w:rStyle w:val="Hyperlink"/>
          </w:rPr>
          <w:t xml:space="preserve">https://doi.org/10.1109/TC.1977.1674779</w:t>
        </w:r>
      </w:hyperlink>
    </w:p>
    <w:bookmarkEnd w:id="139"/>
    <w:bookmarkStart w:id="141" w:name="ref-marinhojunior2021"/>
    <w:p>
      <w:pPr>
        <w:pStyle w:val="Bibliography"/>
      </w:pPr>
      <w:r>
        <w:t xml:space="preserve">Marinho Junior, J. L., V. C. Piscoya, M. M. Fernandes, S. B. Gonçalves, F. S. R. Holanda, M. Cunha Filho, et al.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b/>
          <w:bCs/>
        </w:rPr>
        <w:t xml:space="preserve">28</w:t>
      </w:r>
      <w:r>
        <w:t xml:space="preserve">.</w:t>
      </w:r>
      <w:r>
        <w:t xml:space="preserve"> </w:t>
      </w:r>
      <w:hyperlink r:id="rId140">
        <w:r>
          <w:rPr>
            <w:rStyle w:val="Hyperlink"/>
          </w:rPr>
          <w:t xml:space="preserve">https://doi.org/10.1590/2179-8087-floram-2020-0024</w:t>
        </w:r>
      </w:hyperlink>
    </w:p>
    <w:bookmarkEnd w:id="141"/>
    <w:bookmarkStart w:id="143" w:name="ref-mendonca2024"/>
    <w:p>
      <w:pPr>
        <w:pStyle w:val="Bibliography"/>
      </w:pPr>
      <w:r>
        <w:t xml:space="preserve">Mendonça, E. S., J. R. S. Lima &amp; A. L. Ferreira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b/>
          <w:bCs/>
        </w:rPr>
        <w:t xml:space="preserve">173</w:t>
      </w:r>
      <w:r>
        <w:t xml:space="preserve"> p. 105783.</w:t>
      </w:r>
      <w:r>
        <w:t xml:space="preserve"> </w:t>
      </w:r>
      <w:hyperlink r:id="rId142">
        <w:r>
          <w:rPr>
            <w:rStyle w:val="Hyperlink"/>
          </w:rPr>
          <w:t xml:space="preserve">https://doi.org/10.1016/j.envsoft.2024.105783</w:t>
        </w:r>
      </w:hyperlink>
    </w:p>
    <w:bookmarkEnd w:id="143"/>
    <w:bookmarkStart w:id="144" w:name="ref-moreira2021"/>
    <w:p>
      <w:pPr>
        <w:pStyle w:val="Bibliography"/>
      </w:pPr>
      <w:r>
        <w:t xml:space="preserve">Moreira, M. F. et al. (2021). Teca: implantação e produção no Brasil.</w:t>
      </w:r>
      <w:r>
        <w:t xml:space="preserve"> </w:t>
      </w:r>
      <w:r>
        <w:rPr>
          <w:i/>
          <w:iCs/>
        </w:rPr>
        <w:t xml:space="preserve">Arrudea</w:t>
      </w:r>
      <w:r>
        <w:t xml:space="preserve">,</w:t>
      </w:r>
      <w:r>
        <w:t xml:space="preserve"> </w:t>
      </w:r>
      <w:r>
        <w:rPr>
          <w:b/>
          <w:bCs/>
        </w:rPr>
        <w:t xml:space="preserve">7</w:t>
      </w:r>
      <w:r>
        <w:t xml:space="preserve"> p. 73–82.</w:t>
      </w:r>
    </w:p>
    <w:bookmarkEnd w:id="144"/>
    <w:bookmarkStart w:id="146"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b/>
          <w:bCs/>
        </w:rPr>
        <w:t xml:space="preserve">98</w:t>
      </w:r>
      <w:r>
        <w:t xml:space="preserve"> p. 109–123.</w:t>
      </w:r>
      <w:r>
        <w:t xml:space="preserve"> </w:t>
      </w:r>
      <w:hyperlink r:id="rId145">
        <w:r>
          <w:rPr>
            <w:rStyle w:val="Hyperlink"/>
          </w:rPr>
          <w:t xml:space="preserve">https://doi.org/10.1016/j.soilbio.2016.04.001</w:t>
        </w:r>
      </w:hyperlink>
    </w:p>
    <w:bookmarkEnd w:id="146"/>
    <w:bookmarkStart w:id="148" w:name="ref-pegoraro2011"/>
    <w:p>
      <w:pPr>
        <w:pStyle w:val="Bibliography"/>
      </w:pPr>
      <w:r>
        <w:t xml:space="preserve">Pegoraro, R. F., I. R. da Silva, R. F. de Novais, N. F. de Barros, S. Fonseca &amp; C. S. Dambroz (2011). Estoques de carbono e nitrogênio nas frações da matéria orgânica em argissolo sob eucalipto e pastagem.</w:t>
      </w:r>
      <w:r>
        <w:t xml:space="preserve"> </w:t>
      </w:r>
      <w:r>
        <w:rPr>
          <w:i/>
          <w:iCs/>
        </w:rPr>
        <w:t xml:space="preserve">Ciência Florestal</w:t>
      </w:r>
      <w:r>
        <w:t xml:space="preserve">,</w:t>
      </w:r>
      <w:r>
        <w:t xml:space="preserve"> </w:t>
      </w:r>
      <w:r>
        <w:rPr>
          <w:b/>
          <w:bCs/>
        </w:rPr>
        <w:t xml:space="preserve">21</w:t>
      </w:r>
      <w:r>
        <w:t xml:space="preserve"> p. 261–273.</w:t>
      </w:r>
      <w:r>
        <w:t xml:space="preserve"> </w:t>
      </w:r>
      <w:hyperlink r:id="rId147">
        <w:r>
          <w:rPr>
            <w:rStyle w:val="Hyperlink"/>
          </w:rPr>
          <w:t xml:space="preserve">https://doi.org/10.5902/198050983230</w:t>
        </w:r>
      </w:hyperlink>
    </w:p>
    <w:bookmarkEnd w:id="148"/>
    <w:bookmarkStart w:id="149" w:name="ref-queiroz2017"/>
    <w:p>
      <w:pPr>
        <w:pStyle w:val="Bibliography"/>
      </w:pPr>
      <w:r>
        <w:t xml:space="preserve">Queiroz, W. T. et al.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b/>
          <w:bCs/>
        </w:rPr>
        <w:t xml:space="preserve">27</w:t>
      </w:r>
      <w:r>
        <w:t xml:space="preserve">, (1) p. 47–59.</w:t>
      </w:r>
    </w:p>
    <w:bookmarkEnd w:id="149"/>
    <w:bookmarkStart w:id="150" w:name="ref-sano2019"/>
    <w:p>
      <w:pPr>
        <w:pStyle w:val="Bibliography"/>
      </w:pPr>
      <w:r>
        <w:t xml:space="preserve">Sano, E. E. et al.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b/>
          <w:bCs/>
        </w:rPr>
        <w:t xml:space="preserve">232</w:t>
      </w:r>
      <w:r>
        <w:t xml:space="preserve"> p. 818–828.</w:t>
      </w:r>
    </w:p>
    <w:bookmarkEnd w:id="150"/>
    <w:bookmarkStart w:id="152" w:name="ref-sano2020"/>
    <w:p>
      <w:pPr>
        <w:pStyle w:val="Bibliography"/>
      </w:pPr>
      <w:r>
        <w:t xml:space="preserve">Sano, E. E., A. A. Rodrigues, E. S. Martins &amp; G. M. Bettiol (2020). Cerrado e suas transformações: Dinâmica da ocupação e desafios à conservação.</w:t>
      </w:r>
      <w:r>
        <w:t xml:space="preserve"> </w:t>
      </w:r>
      <w:r>
        <w:rPr>
          <w:i/>
          <w:iCs/>
        </w:rPr>
        <w:t xml:space="preserve">Revista Brasileira de Geografia Física</w:t>
      </w:r>
      <w:r>
        <w:t xml:space="preserve">,</w:t>
      </w:r>
      <w:r>
        <w:t xml:space="preserve"> </w:t>
      </w:r>
      <w:r>
        <w:rPr>
          <w:b/>
          <w:bCs/>
        </w:rPr>
        <w:t xml:space="preserve">13</w:t>
      </w:r>
      <w:r>
        <w:t xml:space="preserve">, (2) p. 442–459.</w:t>
      </w:r>
      <w:r>
        <w:t xml:space="preserve"> </w:t>
      </w:r>
      <w:hyperlink r:id="rId151">
        <w:r>
          <w:rPr>
            <w:rStyle w:val="Hyperlink"/>
          </w:rPr>
          <w:t xml:space="preserve">https://doi.org/10.26848/rbgf.v13.2.p442-459</w:t>
        </w:r>
      </w:hyperlink>
    </w:p>
    <w:bookmarkEnd w:id="152"/>
    <w:bookmarkStart w:id="154" w:name="ref-santos2024"/>
    <w:p>
      <w:pPr>
        <w:pStyle w:val="Bibliography"/>
      </w:pPr>
      <w:r>
        <w:t xml:space="preserve">Santos, L. D. V., L. M. Pereira, S. A. B. da Silva, F. S. R. Holanda, R. C. P. de Melo, M. Cunha Filho, et al.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b/>
          <w:bCs/>
        </w:rPr>
        <w:t xml:space="preserve">88</w:t>
      </w:r>
      <w:r>
        <w:t xml:space="preserve"> p. 1234–1248.</w:t>
      </w:r>
      <w:r>
        <w:t xml:space="preserve"> </w:t>
      </w:r>
      <w:hyperlink r:id="rId153">
        <w:r>
          <w:rPr>
            <w:rStyle w:val="Hyperlink"/>
          </w:rPr>
          <w:t xml:space="preserve">https://doi.org/10.1002/saj2.20567</w:t>
        </w:r>
      </w:hyperlink>
    </w:p>
    <w:bookmarkEnd w:id="154"/>
    <w:bookmarkStart w:id="156" w:name="ref-sekaran2020"/>
    <w:p>
      <w:pPr>
        <w:pStyle w:val="Bibliography"/>
      </w:pPr>
      <w:r>
        <w:t xml:space="preserve">Sekaran, U., J. R. Loya, G. O. Abagandura, S. Subramanian, V. Owens &amp; S. Kumar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b/>
          <w:bCs/>
        </w:rPr>
        <w:t xml:space="preserve">147</w:t>
      </w:r>
      <w:r>
        <w:t xml:space="preserve">.</w:t>
      </w:r>
      <w:r>
        <w:t xml:space="preserve"> </w:t>
      </w:r>
      <w:hyperlink r:id="rId155">
        <w:r>
          <w:rPr>
            <w:rStyle w:val="Hyperlink"/>
          </w:rPr>
          <w:t xml:space="preserve">https://doi.org/10.1016/j.apsoil.2019.103427</w:t>
        </w:r>
      </w:hyperlink>
    </w:p>
    <w:bookmarkEnd w:id="156"/>
    <w:bookmarkStart w:id="158" w:name="ref-silva2024"/>
    <w:p>
      <w:pPr>
        <w:pStyle w:val="Bibliography"/>
      </w:pPr>
      <w:r>
        <w:t xml:space="preserve">Silva, B. de O., M. R. Moitinho, A. R. Panosso, D. M. da S. Oliveira, R. Montanari, M. L. T. de Moraes, et al.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b/>
          <w:bCs/>
        </w:rPr>
        <w:t xml:space="preserve">358</w:t>
      </w:r>
      <w:r>
        <w:t xml:space="preserve"> p. 120796.</w:t>
      </w:r>
      <w:r>
        <w:t xml:space="preserve"> </w:t>
      </w:r>
      <w:hyperlink r:id="rId157">
        <w:r>
          <w:rPr>
            <w:rStyle w:val="Hyperlink"/>
          </w:rPr>
          <w:t xml:space="preserve">https://doi.org/10.1016/j.jenvman.2024.120796</w:t>
        </w:r>
      </w:hyperlink>
    </w:p>
    <w:bookmarkEnd w:id="158"/>
    <w:bookmarkStart w:id="160" w:name="ref-silva2022"/>
    <w:p>
      <w:pPr>
        <w:pStyle w:val="Bibliography"/>
      </w:pPr>
      <w:r>
        <w:t xml:space="preserve">Silva, R. F., A. M. Siqueira &amp; A. P. Andrade (2022). Land-use intensification reduces soil organic matter stability in tropical regions.</w:t>
      </w:r>
      <w:r>
        <w:t xml:space="preserve"> </w:t>
      </w:r>
      <w:r>
        <w:rPr>
          <w:i/>
          <w:iCs/>
        </w:rPr>
        <w:t xml:space="preserve">Science of the Total Environment</w:t>
      </w:r>
      <w:r>
        <w:t xml:space="preserve">,</w:t>
      </w:r>
      <w:r>
        <w:t xml:space="preserve"> </w:t>
      </w:r>
      <w:r>
        <w:rPr>
          <w:b/>
          <w:bCs/>
        </w:rPr>
        <w:t xml:space="preserve">821</w:t>
      </w:r>
      <w:r>
        <w:t xml:space="preserve"> p. 153289.</w:t>
      </w:r>
      <w:r>
        <w:t xml:space="preserve"> </w:t>
      </w:r>
      <w:hyperlink r:id="rId159">
        <w:r>
          <w:rPr>
            <w:rStyle w:val="Hyperlink"/>
          </w:rPr>
          <w:t xml:space="preserve">https://doi.org/10.1016/j.scitotenv.2022.153289</w:t>
        </w:r>
      </w:hyperlink>
    </w:p>
    <w:bookmarkEnd w:id="160"/>
    <w:bookmarkStart w:id="161" w:name="ref-silva2023"/>
    <w:p>
      <w:pPr>
        <w:pStyle w:val="Bibliography"/>
      </w:pPr>
      <w:r>
        <w:t xml:space="preserve">Silva, R. R. &amp; S. Barreira (2023). DESENVOLVIMENTO DE Khaya grandifoliola C. Dc.SOB DIFERENTES ESPAÇAMENTOS DE PLANTIO.</w:t>
      </w:r>
      <w:r>
        <w:t xml:space="preserve"> </w:t>
      </w:r>
      <w:r>
        <w:rPr>
          <w:i/>
          <w:iCs/>
        </w:rPr>
        <w:t xml:space="preserve">AGRARIAN ACADEMY</w:t>
      </w:r>
      <w:r>
        <w:t xml:space="preserve">,</w:t>
      </w:r>
      <w:r>
        <w:t xml:space="preserve"> </w:t>
      </w:r>
      <w:r>
        <w:rPr>
          <w:b/>
          <w:bCs/>
        </w:rPr>
        <w:t xml:space="preserve">10</w:t>
      </w:r>
      <w:r>
        <w:t xml:space="preserve">, (19) p. 91.</w:t>
      </w:r>
    </w:p>
    <w:bookmarkEnd w:id="161"/>
    <w:bookmarkStart w:id="162" w:name="ref-sisti2004"/>
    <w:p>
      <w:pPr>
        <w:pStyle w:val="Bibliography"/>
      </w:pPr>
      <w:r>
        <w:t xml:space="preserve">Sisti, C. P. J. et al.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b/>
          <w:bCs/>
        </w:rPr>
        <w:t xml:space="preserve">76</w:t>
      </w:r>
      <w:r>
        <w:t xml:space="preserve">, (1) p. 39–58.</w:t>
      </w:r>
    </w:p>
    <w:bookmarkEnd w:id="162"/>
    <w:bookmarkStart w:id="164" w:name="ref-sousa2021"/>
    <w:p>
      <w:pPr>
        <w:pStyle w:val="Bibliography"/>
      </w:pPr>
      <w:r>
        <w:t xml:space="preserve">Sousa, D. M. G., H. G. Santos &amp; J. S. Carneiro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b/>
          <w:bCs/>
        </w:rPr>
        <w:t xml:space="preserve">319</w:t>
      </w:r>
      <w:r>
        <w:t xml:space="preserve"> p. 107567.</w:t>
      </w:r>
      <w:r>
        <w:t xml:space="preserve"> </w:t>
      </w:r>
      <w:hyperlink r:id="rId163">
        <w:r>
          <w:rPr>
            <w:rStyle w:val="Hyperlink"/>
          </w:rPr>
          <w:t xml:space="preserve">https://doi.org/10.1016/j.agee.2021.107567</w:t>
        </w:r>
      </w:hyperlink>
    </w:p>
    <w:bookmarkEnd w:id="164"/>
    <w:bookmarkStart w:id="165" w:name="ref-stevenson1994"/>
    <w:p>
      <w:pPr>
        <w:pStyle w:val="Bibliography"/>
      </w:pPr>
      <w:r>
        <w:t xml:space="preserve">Stevenson, F. J. (1994).</w:t>
      </w:r>
      <w:r>
        <w:t xml:space="preserve"> </w:t>
      </w:r>
      <w:r>
        <w:rPr>
          <w:i/>
          <w:iCs/>
        </w:rPr>
        <w:t xml:space="preserve">Humus chemistry: Genesis, composition, reactions</w:t>
      </w:r>
      <w:r>
        <w:t xml:space="preserve">. Wiley: 2º ed.</w:t>
      </w:r>
    </w:p>
    <w:bookmarkEnd w:id="165"/>
    <w:bookmarkStart w:id="167" w:name="ref-strassburg2017"/>
    <w:p>
      <w:pPr>
        <w:pStyle w:val="Bibliography"/>
      </w:pPr>
      <w:r>
        <w:t xml:space="preserve">Strassburg, B. B. N., T. Brooks, R. Feltran-Barbieri, et al. (2017). Moment of truth for the Cerrado hotspot.</w:t>
      </w:r>
      <w:r>
        <w:t xml:space="preserve"> </w:t>
      </w:r>
      <w:r>
        <w:rPr>
          <w:i/>
          <w:iCs/>
        </w:rPr>
        <w:t xml:space="preserve">Nature Ecology and Evolution</w:t>
      </w:r>
      <w:r>
        <w:t xml:space="preserve">,</w:t>
      </w:r>
      <w:r>
        <w:t xml:space="preserve"> </w:t>
      </w:r>
      <w:r>
        <w:rPr>
          <w:b/>
          <w:bCs/>
        </w:rPr>
        <w:t xml:space="preserve">1</w:t>
      </w:r>
      <w:r>
        <w:t xml:space="preserve"> p. 0099.</w:t>
      </w:r>
      <w:r>
        <w:t xml:space="preserve"> </w:t>
      </w:r>
      <w:hyperlink r:id="rId166">
        <w:r>
          <w:rPr>
            <w:rStyle w:val="Hyperlink"/>
          </w:rPr>
          <w:t xml:space="preserve">https://doi.org/10.1038/s41559-017-0099</w:t>
        </w:r>
      </w:hyperlink>
    </w:p>
    <w:bookmarkEnd w:id="167"/>
    <w:bookmarkStart w:id="168" w:name="ref-teixeira2017"/>
    <w:p>
      <w:pPr>
        <w:pStyle w:val="Bibliography"/>
      </w:pPr>
      <w:r>
        <w:t xml:space="preserve">Teixeira, P. C. et al. (2017).</w:t>
      </w:r>
      <w:r>
        <w:t xml:space="preserve"> </w:t>
      </w:r>
      <w:r>
        <w:rPr>
          <w:i/>
          <w:iCs/>
        </w:rPr>
        <w:t xml:space="preserve">Manual e métodos de análise de solo</w:t>
      </w:r>
      <w:r>
        <w:t xml:space="preserve">. Brasília, DF: Embrapa: 3º ed.</w:t>
      </w:r>
    </w:p>
    <w:bookmarkEnd w:id="168"/>
    <w:bookmarkStart w:id="169"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b/>
          <w:bCs/>
        </w:rPr>
        <w:t xml:space="preserve">38</w:t>
      </w:r>
      <w:r>
        <w:t xml:space="preserve">, (1) p. 55–94.</w:t>
      </w:r>
    </w:p>
    <w:bookmarkEnd w:id="169"/>
    <w:bookmarkStart w:id="171" w:name="ref-tivet2013"/>
    <w:p>
      <w:pPr>
        <w:pStyle w:val="Bibliography"/>
      </w:pPr>
      <w:r>
        <w:t xml:space="preserve">Tivet, F., J. C. M. Sá, R. Lal, C. Briedis, P. R. Borszowskei &amp; D. C. Hartman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b/>
          <w:bCs/>
        </w:rPr>
        <w:t xml:space="preserve">126</w:t>
      </w:r>
      <w:r>
        <w:t xml:space="preserve"> p. 203–218.</w:t>
      </w:r>
      <w:r>
        <w:t xml:space="preserve"> </w:t>
      </w:r>
      <w:hyperlink r:id="rId170">
        <w:r>
          <w:rPr>
            <w:rStyle w:val="Hyperlink"/>
          </w:rPr>
          <w:t xml:space="preserve">https://doi.org/10.1016/j.still.2012.09.006</w:t>
        </w:r>
      </w:hyperlink>
    </w:p>
    <w:bookmarkEnd w:id="171"/>
    <w:bookmarkStart w:id="172" w:name="ref-verai2022"/>
    <w:p>
      <w:pPr>
        <w:pStyle w:val="Bibliography"/>
      </w:pPr>
      <w:r>
        <w:t xml:space="preserve">Verai, D. E. et al. (2022). Crescimento e forma do eucalipto em função da densidade de plantio.</w:t>
      </w:r>
      <w:r>
        <w:t xml:space="preserve"> </w:t>
      </w:r>
      <w:r>
        <w:rPr>
          <w:i/>
          <w:iCs/>
        </w:rPr>
        <w:t xml:space="preserve">Ciência Florestal</w:t>
      </w:r>
      <w:r>
        <w:t xml:space="preserve">,</w:t>
      </w:r>
      <w:r>
        <w:t xml:space="preserve"> </w:t>
      </w:r>
      <w:r>
        <w:rPr>
          <w:b/>
          <w:bCs/>
        </w:rPr>
        <w:t xml:space="preserve">32</w:t>
      </w:r>
      <w:r>
        <w:t xml:space="preserve">, (1) p. 504–522.</w:t>
      </w:r>
    </w:p>
    <w:bookmarkEnd w:id="172"/>
    <w:bookmarkStart w:id="174" w:name="ref-wang2023"/>
    <w:p>
      <w:pPr>
        <w:pStyle w:val="Bibliography"/>
      </w:pPr>
      <w:r>
        <w:t xml:space="preserve">Wang, J., X. Zhang &amp; X. Wu (2023). Soil phosphorus dynamics under contrasting land uses in tropical ecosystems: A global synthesis.</w:t>
      </w:r>
      <w:r>
        <w:t xml:space="preserve"> </w:t>
      </w:r>
      <w:r>
        <w:rPr>
          <w:i/>
          <w:iCs/>
        </w:rPr>
        <w:t xml:space="preserve">Global Change Biology</w:t>
      </w:r>
      <w:r>
        <w:t xml:space="preserve">,</w:t>
      </w:r>
      <w:r>
        <w:t xml:space="preserve"> </w:t>
      </w:r>
      <w:r>
        <w:rPr>
          <w:b/>
          <w:bCs/>
        </w:rPr>
        <w:t xml:space="preserve">29</w:t>
      </w:r>
      <w:r>
        <w:t xml:space="preserve">, (4) p. 1154–1170.</w:t>
      </w:r>
      <w:r>
        <w:t xml:space="preserve"> </w:t>
      </w:r>
      <w:hyperlink r:id="rId173">
        <w:r>
          <w:rPr>
            <w:rStyle w:val="Hyperlink"/>
          </w:rPr>
          <w:t xml:space="preserve">https://doi.org/10.1111/gcb.16435</w:t>
        </w:r>
      </w:hyperlink>
    </w:p>
    <w:bookmarkEnd w:id="174"/>
    <w:bookmarkEnd w:id="175"/>
    <w:p>
      <w:r>
        <w:pict>
          <v:rect style="width:0;height:1.5pt" o:hralign="center" o:hrstd="t" o:hr="t"/>
        </w:pict>
      </w:r>
    </w:p>
    <w:bookmarkStart w:id="176" w:name="como-adicionar-referências"/>
    <w:p>
      <w:pPr>
        <w:pStyle w:val="Heading2"/>
      </w:pPr>
      <w:r>
        <w:t xml:space="preserve">Como Adicionar Referências</w:t>
      </w:r>
    </w:p>
    <w:p>
      <w:pPr>
        <w:pStyle w:val="FirstParagraph"/>
      </w:pPr>
      <w:r>
        <w:t xml:space="preserve">Para adicionar mais referências ao artigo, edite o arquivo</w:t>
      </w:r>
      <w:r>
        <w:t xml:space="preserve"> </w:t>
      </w:r>
      <w:r>
        <w:rPr>
          <w:rStyle w:val="VerbatimChar"/>
        </w:rPr>
        <w:t xml:space="preserve">references.bib</w:t>
      </w:r>
      <w:r>
        <w:t xml:space="preserve"> </w:t>
      </w:r>
      <w:r>
        <w:t xml:space="preserve">e adicione entradas no formato BibTeX.</w:t>
      </w:r>
    </w:p>
    <w:p>
      <w:pPr>
        <w:pStyle w:val="BodyText"/>
      </w:pPr>
      <w:r>
        <w:rPr>
          <w:b/>
          <w:bCs/>
        </w:rPr>
        <w:t xml:space="preserve">Exemplo</w:t>
      </w:r>
      <w:r>
        <w:t xml:space="preserve">:</w:t>
      </w:r>
    </w:p>
    <w:p>
      <w:pPr>
        <w:pStyle w:val="SourceCode"/>
      </w:pPr>
      <w:r>
        <w:rPr>
          <w:rStyle w:val="VariableTok"/>
        </w:rPr>
        <w:t xml:space="preserve">@article</w:t>
      </w:r>
      <w:r>
        <w:rPr>
          <w:rStyle w:val="NormalTok"/>
        </w:rPr>
        <w:t xml:space="preserve">{</w:t>
      </w:r>
      <w:r>
        <w:rPr>
          <w:rStyle w:val="OtherTok"/>
        </w:rPr>
        <w:t xml:space="preserve">autor2020</w:t>
      </w:r>
      <w:r>
        <w:rPr>
          <w:rStyle w:val="NormalTok"/>
        </w:rPr>
        <w:t xml:space="preserve">,</w:t>
      </w:r>
      <w:r>
        <w:br/>
      </w:r>
      <w:r>
        <w:rPr>
          <w:rStyle w:val="NormalTok"/>
        </w:rPr>
        <w:t xml:space="preserve">  </w:t>
      </w:r>
      <w:r>
        <w:rPr>
          <w:rStyle w:val="DataTypeTok"/>
        </w:rPr>
        <w:t xml:space="preserve">title</w:t>
      </w:r>
      <w:r>
        <w:rPr>
          <w:rStyle w:val="NormalTok"/>
        </w:rPr>
        <w:t xml:space="preserve"> = {Título do Artigo},</w:t>
      </w:r>
      <w:r>
        <w:br/>
      </w:r>
      <w:r>
        <w:rPr>
          <w:rStyle w:val="NormalTok"/>
        </w:rPr>
        <w:t xml:space="preserve">  </w:t>
      </w:r>
      <w:r>
        <w:rPr>
          <w:rStyle w:val="DataTypeTok"/>
        </w:rPr>
        <w:t xml:space="preserve">author</w:t>
      </w:r>
      <w:r>
        <w:rPr>
          <w:rStyle w:val="NormalTok"/>
        </w:rPr>
        <w:t xml:space="preserve"> = {Autor, Nome and Coautor, Outro},</w:t>
      </w:r>
      <w:r>
        <w:br/>
      </w:r>
      <w:r>
        <w:rPr>
          <w:rStyle w:val="NormalTok"/>
        </w:rPr>
        <w:t xml:space="preserve">  </w:t>
      </w:r>
      <w:r>
        <w:rPr>
          <w:rStyle w:val="DataTypeTok"/>
        </w:rPr>
        <w:t xml:space="preserve">journal</w:t>
      </w:r>
      <w:r>
        <w:rPr>
          <w:rStyle w:val="NormalTok"/>
        </w:rPr>
        <w:t xml:space="preserve"> = {Nome do Periódico},</w:t>
      </w:r>
      <w:r>
        <w:br/>
      </w:r>
      <w:r>
        <w:rPr>
          <w:rStyle w:val="NormalTok"/>
        </w:rPr>
        <w:t xml:space="preserve">  </w:t>
      </w:r>
      <w:r>
        <w:rPr>
          <w:rStyle w:val="DataTypeTok"/>
        </w:rPr>
        <w:t xml:space="preserve">year</w:t>
      </w:r>
      <w:r>
        <w:rPr>
          <w:rStyle w:val="NormalTok"/>
        </w:rPr>
        <w:t xml:space="preserve"> = {2020},</w:t>
      </w:r>
      <w:r>
        <w:br/>
      </w:r>
      <w:r>
        <w:rPr>
          <w:rStyle w:val="NormalTok"/>
        </w:rPr>
        <w:t xml:space="preserve">  </w:t>
      </w:r>
      <w:r>
        <w:rPr>
          <w:rStyle w:val="DataTypeTok"/>
        </w:rPr>
        <w:t xml:space="preserve">volume</w:t>
      </w:r>
      <w:r>
        <w:rPr>
          <w:rStyle w:val="NormalTok"/>
        </w:rPr>
        <w:t xml:space="preserve"> = {42},</w:t>
      </w:r>
      <w:r>
        <w:br/>
      </w:r>
      <w:r>
        <w:rPr>
          <w:rStyle w:val="NormalTok"/>
        </w:rPr>
        <w:t xml:space="preserve">  </w:t>
      </w:r>
      <w:r>
        <w:rPr>
          <w:rStyle w:val="DataTypeTok"/>
        </w:rPr>
        <w:t xml:space="preserve">number</w:t>
      </w:r>
      <w:r>
        <w:rPr>
          <w:rStyle w:val="NormalTok"/>
        </w:rPr>
        <w:t xml:space="preserve"> = {3},</w:t>
      </w:r>
      <w:r>
        <w:br/>
      </w:r>
      <w:r>
        <w:rPr>
          <w:rStyle w:val="NormalTok"/>
        </w:rPr>
        <w:t xml:space="preserve">  </w:t>
      </w:r>
      <w:r>
        <w:rPr>
          <w:rStyle w:val="DataTypeTok"/>
        </w:rPr>
        <w:t xml:space="preserve">pages</w:t>
      </w:r>
      <w:r>
        <w:rPr>
          <w:rStyle w:val="NormalTok"/>
        </w:rPr>
        <w:t xml:space="preserve"> = {123--145},</w:t>
      </w:r>
      <w:r>
        <w:br/>
      </w:r>
      <w:r>
        <w:rPr>
          <w:rStyle w:val="NormalTok"/>
        </w:rPr>
        <w:t xml:space="preserve">  </w:t>
      </w:r>
      <w:r>
        <w:rPr>
          <w:rStyle w:val="DataTypeTok"/>
        </w:rPr>
        <w:t xml:space="preserve">doi</w:t>
      </w:r>
      <w:r>
        <w:rPr>
          <w:rStyle w:val="NormalTok"/>
        </w:rPr>
        <w:t xml:space="preserve"> = {10.1234/exemplo}</w:t>
      </w:r>
      <w:r>
        <w:br/>
      </w:r>
      <w:r>
        <w:rPr>
          <w:rStyle w:val="NormalTok"/>
        </w:rPr>
        <w:t xml:space="preserve">}</w:t>
      </w:r>
    </w:p>
    <w:p>
      <w:pPr>
        <w:pStyle w:val="FirstParagraph"/>
      </w:pPr>
      <w:r>
        <w:t xml:space="preserve">Então cite no texto usando</w:t>
      </w:r>
      <w:r>
        <w:t xml:space="preserve"> </w:t>
      </w:r>
      <w:r>
        <w:rPr>
          <w:rStyle w:val="VerbatimChar"/>
        </w:rPr>
        <w:t xml:space="preserve">[@autor2020]</w:t>
      </w:r>
      <w:r>
        <w:t xml:space="preserve">.</w:t>
      </w:r>
    </w:p>
    <w:bookmarkEnd w:id="176"/>
    <w:bookmarkStart w:id="177" w:name="gestão-de-referências"/>
    <w:p>
      <w:pPr>
        <w:pStyle w:val="Heading2"/>
      </w:pPr>
      <w:r>
        <w:t xml:space="preserve">Gestão de Referências</w:t>
      </w:r>
    </w:p>
    <w:p>
      <w:pPr>
        <w:pStyle w:val="FirstParagraph"/>
      </w:pPr>
      <w:r>
        <w:t xml:space="preserve">Recomenda-se usar ferramentas como:</w:t>
      </w:r>
    </w:p>
    <w:p>
      <w:pPr>
        <w:pStyle w:val="Compact"/>
        <w:numPr>
          <w:ilvl w:val="0"/>
          <w:numId w:val="1003"/>
        </w:numPr>
      </w:pPr>
      <w:r>
        <w:rPr>
          <w:b/>
          <w:bCs/>
        </w:rPr>
        <w:t xml:space="preserve">Zotero</w:t>
      </w:r>
      <w:r>
        <w:t xml:space="preserve"> </w:t>
      </w:r>
      <w:r>
        <w:t xml:space="preserve">(gratuito): Exportar coleções em BibTeX</w:t>
      </w:r>
    </w:p>
    <w:p>
      <w:pPr>
        <w:pStyle w:val="Compact"/>
        <w:numPr>
          <w:ilvl w:val="0"/>
          <w:numId w:val="1003"/>
        </w:numPr>
      </w:pPr>
      <w:r>
        <w:rPr>
          <w:b/>
          <w:bCs/>
        </w:rPr>
        <w:t xml:space="preserve">Mendeley</w:t>
      </w:r>
      <w:r>
        <w:t xml:space="preserve">: Integração com R via</w:t>
      </w:r>
      <w:r>
        <w:t xml:space="preserve"> </w:t>
      </w:r>
      <w:r>
        <w:rPr>
          <w:rStyle w:val="VerbatimChar"/>
        </w:rPr>
        <w:t xml:space="preserve">scholar</w:t>
      </w:r>
      <w:r>
        <w:t xml:space="preserve"> </w:t>
      </w:r>
      <w:r>
        <w:t xml:space="preserve">package</w:t>
      </w:r>
    </w:p>
    <w:p>
      <w:pPr>
        <w:pStyle w:val="Compact"/>
        <w:numPr>
          <w:ilvl w:val="0"/>
          <w:numId w:val="1003"/>
        </w:numPr>
      </w:pPr>
      <w:r>
        <w:rPr>
          <w:b/>
          <w:bCs/>
        </w:rPr>
        <w:t xml:space="preserve">JabRef</w:t>
      </w:r>
      <w:r>
        <w:t xml:space="preserve">: Editor dedicado a arquivos BibTeX</w:t>
      </w:r>
    </w:p>
    <w:bookmarkEnd w:id="177"/>
    <w:bookmarkEnd w:id="17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94" Target="media/rId94.png" /><Relationship Type="http://schemas.openxmlformats.org/officeDocument/2006/relationships/image" Id="rId34" Target="media/rId34.jpg" /><Relationship Type="http://schemas.openxmlformats.org/officeDocument/2006/relationships/image" Id="rId80" Target="media/rId80.png" /><Relationship Type="http://schemas.openxmlformats.org/officeDocument/2006/relationships/image" Id="rId37" Target="media/rId37.jp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29" Target="media/rId29.pn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50" Target="media/rId50.png" /><Relationship Type="http://schemas.openxmlformats.org/officeDocument/2006/relationships/hyperlink" Id="rId121" Target="https://doi.org/10.1002/ecs2.3439" TargetMode="External" /><Relationship Type="http://schemas.openxmlformats.org/officeDocument/2006/relationships/hyperlink" Id="rId128" Target="https://doi.org/10.1002/ldr.3580" TargetMode="External" /><Relationship Type="http://schemas.openxmlformats.org/officeDocument/2006/relationships/hyperlink" Id="rId153" Target="https://doi.org/10.1002/saj2.20567" TargetMode="External" /><Relationship Type="http://schemas.openxmlformats.org/officeDocument/2006/relationships/hyperlink" Id="rId163" Target="https://doi.org/10.1016/j.agee.2021.107567" TargetMode="External" /><Relationship Type="http://schemas.openxmlformats.org/officeDocument/2006/relationships/hyperlink" Id="rId155" Target="https://doi.org/10.1016/j.apsoil.2019.103427" TargetMode="External" /><Relationship Type="http://schemas.openxmlformats.org/officeDocument/2006/relationships/hyperlink" Id="rId134" Target="https://doi.org/10.1016/j.ecolind.2023.110234" TargetMode="External" /><Relationship Type="http://schemas.openxmlformats.org/officeDocument/2006/relationships/hyperlink" Id="rId142" Target="https://doi.org/10.1016/j.envsoft.2024.105783" TargetMode="External" /><Relationship Type="http://schemas.openxmlformats.org/officeDocument/2006/relationships/hyperlink" Id="rId110" Target="https://doi.org/10.1016/j.foreco.2024.122087" TargetMode="External" /><Relationship Type="http://schemas.openxmlformats.org/officeDocument/2006/relationships/hyperlink" Id="rId130" Target="https://doi.org/10.1016/j.geoderma.2023.116745" TargetMode="External" /><Relationship Type="http://schemas.openxmlformats.org/officeDocument/2006/relationships/hyperlink" Id="rId157" Target="https://doi.org/10.1016/j.jenvman.2024.120796" TargetMode="External" /><Relationship Type="http://schemas.openxmlformats.org/officeDocument/2006/relationships/hyperlink" Id="rId159" Target="https://doi.org/10.1016/j.scitotenv.2022.153289" TargetMode="External" /><Relationship Type="http://schemas.openxmlformats.org/officeDocument/2006/relationships/hyperlink" Id="rId145" Target="https://doi.org/10.1016/j.soilbio.2016.04.001" TargetMode="External" /><Relationship Type="http://schemas.openxmlformats.org/officeDocument/2006/relationships/hyperlink" Id="rId124" Target="https://doi.org/10.1016/j.soilbio.2021.108193" TargetMode="External" /><Relationship Type="http://schemas.openxmlformats.org/officeDocument/2006/relationships/hyperlink" Id="rId170" Target="https://doi.org/10.1016/j.still.2012.09.006" TargetMode="External" /><Relationship Type="http://schemas.openxmlformats.org/officeDocument/2006/relationships/hyperlink" Id="rId132" Target="https://doi.org/10.1038/nature16069" TargetMode="External" /><Relationship Type="http://schemas.openxmlformats.org/officeDocument/2006/relationships/hyperlink" Id="rId166" Target="https://doi.org/10.1038/s41559-017-0099" TargetMode="External" /><Relationship Type="http://schemas.openxmlformats.org/officeDocument/2006/relationships/hyperlink" Id="rId116" Target="https://doi.org/10.1038/s41561-019-0484-6" TargetMode="External" /><Relationship Type="http://schemas.openxmlformats.org/officeDocument/2006/relationships/hyperlink" Id="rId138" Target="https://doi.org/10.1109/TC.1977.1674779" TargetMode="External" /><Relationship Type="http://schemas.openxmlformats.org/officeDocument/2006/relationships/hyperlink" Id="rId113" Target="https://doi.org/10.1111/gcb.14474" TargetMode="External" /><Relationship Type="http://schemas.openxmlformats.org/officeDocument/2006/relationships/hyperlink" Id="rId173" Target="https://doi.org/10.1111/gcb.16435" TargetMode="External" /><Relationship Type="http://schemas.openxmlformats.org/officeDocument/2006/relationships/hyperlink" Id="rId140" Target="https://doi.org/10.1590/2179-8087-floram-2020-0024" TargetMode="External" /><Relationship Type="http://schemas.openxmlformats.org/officeDocument/2006/relationships/hyperlink" Id="rId151" Target="https://doi.org/10.26848/rbgf.v13.2.p442-459" TargetMode="External" /><Relationship Type="http://schemas.openxmlformats.org/officeDocument/2006/relationships/hyperlink" Id="rId118" Target="https://doi.org/10.3390/agronomy14122847" TargetMode="External" /><Relationship Type="http://schemas.openxmlformats.org/officeDocument/2006/relationships/hyperlink" Id="rId147" Target="https://doi.org/10.5902/198050983230" TargetMode="External" /><Relationship Type="http://schemas.openxmlformats.org/officeDocument/2006/relationships/hyperlink" Id="rId23" Target="https://quarto.org/" TargetMode="External" /><Relationship Type="http://schemas.openxmlformats.org/officeDocument/2006/relationships/hyperlink" Id="rId20" Target="https://www.projecttier.org/tier-protocol/protocol-4-0/" TargetMode="External" /><Relationship Type="http://schemas.openxmlformats.org/officeDocument/2006/relationships/hyperlink" Id="rId2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1" Target="https://doi.org/10.1002/ecs2.3439" TargetMode="External" /><Relationship Type="http://schemas.openxmlformats.org/officeDocument/2006/relationships/hyperlink" Id="rId128" Target="https://doi.org/10.1002/ldr.3580" TargetMode="External" /><Relationship Type="http://schemas.openxmlformats.org/officeDocument/2006/relationships/hyperlink" Id="rId153" Target="https://doi.org/10.1002/saj2.20567" TargetMode="External" /><Relationship Type="http://schemas.openxmlformats.org/officeDocument/2006/relationships/hyperlink" Id="rId163" Target="https://doi.org/10.1016/j.agee.2021.107567" TargetMode="External" /><Relationship Type="http://schemas.openxmlformats.org/officeDocument/2006/relationships/hyperlink" Id="rId155" Target="https://doi.org/10.1016/j.apsoil.2019.103427" TargetMode="External" /><Relationship Type="http://schemas.openxmlformats.org/officeDocument/2006/relationships/hyperlink" Id="rId134" Target="https://doi.org/10.1016/j.ecolind.2023.110234" TargetMode="External" /><Relationship Type="http://schemas.openxmlformats.org/officeDocument/2006/relationships/hyperlink" Id="rId142" Target="https://doi.org/10.1016/j.envsoft.2024.105783" TargetMode="External" /><Relationship Type="http://schemas.openxmlformats.org/officeDocument/2006/relationships/hyperlink" Id="rId110" Target="https://doi.org/10.1016/j.foreco.2024.122087" TargetMode="External" /><Relationship Type="http://schemas.openxmlformats.org/officeDocument/2006/relationships/hyperlink" Id="rId130" Target="https://doi.org/10.1016/j.geoderma.2023.116745" TargetMode="External" /><Relationship Type="http://schemas.openxmlformats.org/officeDocument/2006/relationships/hyperlink" Id="rId157" Target="https://doi.org/10.1016/j.jenvman.2024.120796" TargetMode="External" /><Relationship Type="http://schemas.openxmlformats.org/officeDocument/2006/relationships/hyperlink" Id="rId159" Target="https://doi.org/10.1016/j.scitotenv.2022.153289" TargetMode="External" /><Relationship Type="http://schemas.openxmlformats.org/officeDocument/2006/relationships/hyperlink" Id="rId145" Target="https://doi.org/10.1016/j.soilbio.2016.04.001" TargetMode="External" /><Relationship Type="http://schemas.openxmlformats.org/officeDocument/2006/relationships/hyperlink" Id="rId124" Target="https://doi.org/10.1016/j.soilbio.2021.108193" TargetMode="External" /><Relationship Type="http://schemas.openxmlformats.org/officeDocument/2006/relationships/hyperlink" Id="rId170" Target="https://doi.org/10.1016/j.still.2012.09.006" TargetMode="External" /><Relationship Type="http://schemas.openxmlformats.org/officeDocument/2006/relationships/hyperlink" Id="rId132" Target="https://doi.org/10.1038/nature16069" TargetMode="External" /><Relationship Type="http://schemas.openxmlformats.org/officeDocument/2006/relationships/hyperlink" Id="rId166" Target="https://doi.org/10.1038/s41559-017-0099" TargetMode="External" /><Relationship Type="http://schemas.openxmlformats.org/officeDocument/2006/relationships/hyperlink" Id="rId116" Target="https://doi.org/10.1038/s41561-019-0484-6" TargetMode="External" /><Relationship Type="http://schemas.openxmlformats.org/officeDocument/2006/relationships/hyperlink" Id="rId138" Target="https://doi.org/10.1109/TC.1977.1674779" TargetMode="External" /><Relationship Type="http://schemas.openxmlformats.org/officeDocument/2006/relationships/hyperlink" Id="rId113" Target="https://doi.org/10.1111/gcb.14474" TargetMode="External" /><Relationship Type="http://schemas.openxmlformats.org/officeDocument/2006/relationships/hyperlink" Id="rId173" Target="https://doi.org/10.1111/gcb.16435" TargetMode="External" /><Relationship Type="http://schemas.openxmlformats.org/officeDocument/2006/relationships/hyperlink" Id="rId140" Target="https://doi.org/10.1590/2179-8087-floram-2020-0024" TargetMode="External" /><Relationship Type="http://schemas.openxmlformats.org/officeDocument/2006/relationships/hyperlink" Id="rId151" Target="https://doi.org/10.26848/rbgf.v13.2.p442-459" TargetMode="External" /><Relationship Type="http://schemas.openxmlformats.org/officeDocument/2006/relationships/hyperlink" Id="rId118" Target="https://doi.org/10.3390/agronomy14122847" TargetMode="External" /><Relationship Type="http://schemas.openxmlformats.org/officeDocument/2006/relationships/hyperlink" Id="rId147" Target="https://doi.org/10.5902/198050983230" TargetMode="External" /><Relationship Type="http://schemas.openxmlformats.org/officeDocument/2006/relationships/hyperlink" Id="rId23" Target="https://quarto.org/" TargetMode="External" /><Relationship Type="http://schemas.openxmlformats.org/officeDocument/2006/relationships/hyperlink" Id="rId20" Target="https://www.projecttier.org/tier-protocol/protocol-4-0/" TargetMode="External" /><Relationship Type="http://schemas.openxmlformats.org/officeDocument/2006/relationships/hyperlink" Id="rId2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et al.</dc:creator>
  <cp:keywords/>
  <dcterms:created xsi:type="dcterms:W3CDTF">2025-10-31T16:20:43Z</dcterms:created>
  <dcterms:modified xsi:type="dcterms:W3CDTF">2025-10-31T16:20:43Z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2025-10-31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